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255083A7"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187DC0">
        <w:rPr>
          <w:rFonts w:ascii="Arial" w:hAnsi="Arial" w:cs="Arial"/>
          <w:sz w:val="24"/>
          <w:szCs w:val="24"/>
        </w:rPr>
        <w:t>8</w:t>
      </w:r>
      <w:r w:rsidRPr="00EF6B68">
        <w:rPr>
          <w:rFonts w:ascii="Arial" w:hAnsi="Arial" w:cs="Arial"/>
          <w:sz w:val="24"/>
          <w:szCs w:val="24"/>
        </w:rPr>
        <w:tab/>
      </w:r>
      <w:r w:rsidRPr="00F71037">
        <w:rPr>
          <w:rFonts w:ascii="Arial" w:hAnsi="Arial" w:cs="Arial"/>
          <w:sz w:val="24"/>
          <w:szCs w:val="24"/>
        </w:rPr>
        <w:t>R1-</w:t>
      </w:r>
      <w:r w:rsidR="00315B4C" w:rsidRPr="00315B4C">
        <w:rPr>
          <w:rFonts w:ascii="Arial" w:hAnsi="Arial" w:cs="Arial"/>
          <w:sz w:val="24"/>
          <w:szCs w:val="24"/>
        </w:rPr>
        <w:t>2201963</w:t>
      </w:r>
    </w:p>
    <w:p w14:paraId="776BE9CF" w14:textId="77777777" w:rsidR="00187DC0" w:rsidRPr="00C969FF" w:rsidRDefault="00187DC0" w:rsidP="00187DC0">
      <w:pPr>
        <w:pStyle w:val="3GPPHeader"/>
      </w:pPr>
      <w:r w:rsidRPr="00B605D5">
        <w:rPr>
          <w:rFonts w:ascii="Arial" w:hAnsi="Arial" w:cs="Arial"/>
          <w:sz w:val="24"/>
          <w:szCs w:val="24"/>
        </w:rPr>
        <w:t>e-Meeting, February 21st – March 3rd, 2022</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7B8CC35"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184EBE">
        <w:rPr>
          <w:rFonts w:ascii="Arial" w:hAnsi="Arial" w:cs="Arial"/>
        </w:rPr>
        <w:t xml:space="preserve">Remaining Issues for </w:t>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0A2BA7C8" w:rsidR="00BF7642" w:rsidRDefault="007F75D5" w:rsidP="002611E7">
      <w:pPr>
        <w:pStyle w:val="Heading1"/>
      </w:pPr>
      <w:r>
        <w:t>Introduction</w:t>
      </w:r>
    </w:p>
    <w:p w14:paraId="4007B899" w14:textId="52C7BCA1" w:rsidR="0057418C" w:rsidRDefault="00157952" w:rsidP="00B51F17">
      <w:pPr>
        <w:spacing w:after="0"/>
      </w:pPr>
      <w:r>
        <w:t xml:space="preserve">In this contribution, we discuss </w:t>
      </w:r>
      <w:r w:rsidR="003D2569">
        <w:t xml:space="preserve">remaining issues to specify </w:t>
      </w:r>
      <w:r w:rsidR="007E142D">
        <w:t xml:space="preserve">the </w:t>
      </w:r>
      <w:r w:rsidRPr="00157952">
        <w:t xml:space="preserve">joint channel estimation </w:t>
      </w:r>
      <w:r w:rsidR="003D2569">
        <w:t xml:space="preserve">feature in the Rel-17 NR coverage enhancement work.  </w:t>
      </w:r>
      <w:r w:rsidR="00CC2131">
        <w:t xml:space="preserve">We </w:t>
      </w:r>
      <w:r w:rsidR="00874425">
        <w:t xml:space="preserve">first </w:t>
      </w:r>
      <w:r w:rsidR="00CC2131">
        <w:t xml:space="preserve">discuss </w:t>
      </w:r>
      <w:r w:rsidR="003D2569">
        <w:t xml:space="preserve">details of </w:t>
      </w:r>
      <w:r w:rsidR="00CC2131">
        <w:t>frequency hopping (FH)</w:t>
      </w:r>
      <w:r w:rsidR="003D2569">
        <w:t xml:space="preserve"> design</w:t>
      </w:r>
      <w:r w:rsidR="00CC2131">
        <w:t xml:space="preserve">, considering suitable patterns and their relation to DMRS bundles. </w:t>
      </w:r>
      <w:r w:rsidR="00874425">
        <w:t>We next consider open issue</w:t>
      </w:r>
      <w:r w:rsidR="00BA08E7">
        <w:t>s</w:t>
      </w:r>
      <w:r w:rsidR="00874425">
        <w:t xml:space="preserve"> in the current specifications on how event</w:t>
      </w:r>
      <w:r w:rsidR="00BA08E7">
        <w:t>s</w:t>
      </w:r>
      <w:r w:rsidR="00874425">
        <w:t xml:space="preserve"> </w:t>
      </w:r>
      <w:r w:rsidR="00BA08E7">
        <w:t xml:space="preserve">are defined </w:t>
      </w:r>
      <w:r w:rsidR="00874425">
        <w:t>for the purpose of time domain window determination</w:t>
      </w:r>
      <w:r w:rsidR="00356FB9">
        <w:t xml:space="preserve"> as well as suitable values for maximum duration of the time domain window</w:t>
      </w:r>
      <w:r w:rsidR="00874425">
        <w:t xml:space="preserve">.  </w:t>
      </w:r>
      <w:r w:rsidR="003D2569">
        <w:t xml:space="preserve">How to specify </w:t>
      </w:r>
      <w:r w:rsidR="001F2DE9">
        <w:t xml:space="preserve">transmit power control (TPC) </w:t>
      </w:r>
      <w:r w:rsidR="003D2569">
        <w:t xml:space="preserve">using DCI format 2_2 is </w:t>
      </w:r>
      <w:r w:rsidR="001F2DE9">
        <w:t xml:space="preserve">also covered. </w:t>
      </w:r>
      <w:r w:rsidR="00CC2131">
        <w:t xml:space="preserve">Lastly, </w:t>
      </w:r>
      <w:r w:rsidR="005F5424">
        <w:t xml:space="preserve">performance results on the benefit of JCE and different frequency hopping patterns </w:t>
      </w:r>
      <w:r w:rsidR="00BB1819">
        <w:t xml:space="preserve">are </w:t>
      </w:r>
      <w:r w:rsidR="005F5424">
        <w:t>given.</w:t>
      </w:r>
    </w:p>
    <w:p w14:paraId="65ADA58E" w14:textId="74AAD554" w:rsidR="00D8415D" w:rsidRPr="0029191F" w:rsidRDefault="009D0E62" w:rsidP="004D5B6C">
      <w:pPr>
        <w:pStyle w:val="Heading1"/>
        <w:spacing w:before="360"/>
      </w:pPr>
      <w:r w:rsidRPr="00EA010B">
        <w:t>Discussion</w:t>
      </w:r>
    </w:p>
    <w:p w14:paraId="5A4E9E8C" w14:textId="30C6B107" w:rsidR="005B1196" w:rsidRDefault="005B1196" w:rsidP="00B51F17">
      <w:pPr>
        <w:pStyle w:val="Heading2"/>
      </w:pPr>
      <w:r w:rsidRPr="005B1196">
        <w:t>Frequency Hopping Design Aspects</w:t>
      </w:r>
    </w:p>
    <w:p w14:paraId="200BF1A7" w14:textId="280702FF" w:rsidR="00AE43D1" w:rsidRDefault="00E1608E" w:rsidP="00B51F17">
      <w:pPr>
        <w:pStyle w:val="Heading3"/>
      </w:pPr>
      <w:bookmarkStart w:id="0" w:name="_Ref86842550"/>
      <w:bookmarkStart w:id="1" w:name="_Ref83993626"/>
      <w:r>
        <w:t>Relation between</w:t>
      </w:r>
      <w:r w:rsidR="00AE43D1">
        <w:t xml:space="preserve"> </w:t>
      </w:r>
      <w:r w:rsidR="008C4057">
        <w:t>frequency hopping</w:t>
      </w:r>
      <w:r w:rsidR="00AE43D1">
        <w:t xml:space="preserve"> and time domain window</w:t>
      </w:r>
      <w:bookmarkEnd w:id="0"/>
    </w:p>
    <w:bookmarkEnd w:id="1"/>
    <w:p w14:paraId="780C76FC" w14:textId="304AF345" w:rsidR="00B2656C" w:rsidRDefault="00B2656C" w:rsidP="00F56E2D">
      <w:pPr>
        <w:spacing w:before="120" w:after="120"/>
        <w:rPr>
          <w:lang w:val="en-GB"/>
        </w:rPr>
      </w:pPr>
      <w:r>
        <w:rPr>
          <w:lang w:val="en-GB"/>
        </w:rPr>
        <w:t xml:space="preserve">In RAN1#107, the determination order for hopping interval, </w:t>
      </w:r>
      <w:r w:rsidR="00995E12">
        <w:rPr>
          <w:lang w:val="en-GB"/>
        </w:rPr>
        <w:t>configured TDW (</w:t>
      </w:r>
      <w:r>
        <w:rPr>
          <w:lang w:val="en-GB"/>
        </w:rPr>
        <w:t>CTDW</w:t>
      </w:r>
      <w:r w:rsidR="00995E12">
        <w:rPr>
          <w:lang w:val="en-GB"/>
        </w:rPr>
        <w:t>)</w:t>
      </w:r>
      <w:r>
        <w:rPr>
          <w:lang w:val="en-GB"/>
        </w:rPr>
        <w:t xml:space="preserve">, and </w:t>
      </w:r>
      <w:r w:rsidR="00995E12">
        <w:rPr>
          <w:lang w:val="en-GB"/>
        </w:rPr>
        <w:t>actual TDW (</w:t>
      </w:r>
      <w:r>
        <w:rPr>
          <w:lang w:val="en-GB"/>
        </w:rPr>
        <w:t>ATDW</w:t>
      </w:r>
      <w:r w:rsidR="00995E12">
        <w:rPr>
          <w:lang w:val="en-GB"/>
        </w:rPr>
        <w:t>)</w:t>
      </w:r>
      <w:r>
        <w:rPr>
          <w:lang w:val="en-GB"/>
        </w:rPr>
        <w:t xml:space="preserve"> were agreed</w:t>
      </w:r>
      <w:r w:rsidR="00916A43">
        <w:rPr>
          <w:lang w:val="en-GB"/>
        </w:rPr>
        <w:t>, as shown below.  While the term ‘nominal time domain window’ is more properly used, in this contribution we use ‘configured time domain window’ for consistency with prior discussions in RAN1.</w:t>
      </w:r>
    </w:p>
    <w:p w14:paraId="637C5620" w14:textId="77777777" w:rsidR="00B2656C" w:rsidRPr="00B51F17" w:rsidRDefault="00B2656C" w:rsidP="00B51F17">
      <w:pPr>
        <w:keepNext/>
        <w:spacing w:after="0" w:line="240" w:lineRule="auto"/>
        <w:ind w:left="562"/>
        <w:rPr>
          <w:rFonts w:ascii="Times New Roman" w:eastAsia="DengXian" w:hAnsi="Times New Roman" w:cs="Times New Roman"/>
          <w:sz w:val="20"/>
          <w:szCs w:val="20"/>
          <w:highlight w:val="green"/>
        </w:rPr>
      </w:pPr>
      <w:bookmarkStart w:id="2" w:name="_Hlk92458636"/>
      <w:r w:rsidRPr="00B51F17">
        <w:rPr>
          <w:rFonts w:ascii="Times New Roman" w:eastAsia="DengXian" w:hAnsi="Times New Roman" w:cs="Times New Roman"/>
          <w:b/>
          <w:bCs/>
          <w:sz w:val="20"/>
          <w:szCs w:val="20"/>
          <w:highlight w:val="green"/>
        </w:rPr>
        <w:t>Agreement</w:t>
      </w:r>
      <w:r w:rsidRPr="00B51F17">
        <w:rPr>
          <w:rFonts w:ascii="Times New Roman" w:eastAsia="DengXian" w:hAnsi="Times New Roman" w:cs="Times New Roman"/>
          <w:sz w:val="20"/>
          <w:szCs w:val="20"/>
          <w:highlight w:val="green"/>
        </w:rPr>
        <w:t xml:space="preserve"> </w:t>
      </w:r>
    </w:p>
    <w:p w14:paraId="3400EC3C" w14:textId="77777777" w:rsidR="00B2656C" w:rsidRPr="00B51F17" w:rsidRDefault="00B2656C" w:rsidP="00B51F17">
      <w:pPr>
        <w:spacing w:after="0" w:line="240" w:lineRule="auto"/>
        <w:ind w:left="567"/>
        <w:rPr>
          <w:rFonts w:ascii="Times New Roman" w:eastAsia="DengXian" w:hAnsi="Times New Roman" w:cs="Times New Roman"/>
          <w:sz w:val="20"/>
          <w:szCs w:val="20"/>
          <w:highlight w:val="yellow"/>
        </w:rPr>
      </w:pPr>
      <w:r w:rsidRPr="00B51F17">
        <w:rPr>
          <w:rFonts w:ascii="Times New Roman" w:eastAsia="Calibri" w:hAnsi="Times New Roman" w:cs="Times New Roman"/>
          <w:b/>
          <w:bCs/>
          <w:sz w:val="20"/>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44DFDDD0" w14:textId="77777777" w:rsidR="00B2656C" w:rsidRPr="00B2656C" w:rsidRDefault="00B2656C" w:rsidP="00B51F17">
      <w:pPr>
        <w:numPr>
          <w:ilvl w:val="0"/>
          <w:numId w:val="130"/>
        </w:numPr>
        <w:spacing w:after="0" w:line="280" w:lineRule="atLeast"/>
        <w:ind w:left="128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eastAsia="x-none"/>
        </w:rPr>
        <w:t>Option 1: “hopping intervals determination” -&gt; “configured TDW determination” -&gt; “actual TDW determination”</w:t>
      </w:r>
    </w:p>
    <w:p w14:paraId="5B4D4915" w14:textId="77777777" w:rsidR="00B2656C" w:rsidRPr="00B2656C" w:rsidRDefault="00B2656C" w:rsidP="00B51F17">
      <w:pPr>
        <w:numPr>
          <w:ilvl w:val="1"/>
          <w:numId w:val="130"/>
        </w:numPr>
        <w:spacing w:after="0" w:line="280" w:lineRule="atLeast"/>
        <w:ind w:left="200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rPr>
        <w:t>DMRS bundling shall be restarted at the beginning of each frequency hop</w:t>
      </w:r>
    </w:p>
    <w:p w14:paraId="3EF98046" w14:textId="77777777" w:rsidR="00B2656C" w:rsidRPr="00B2656C" w:rsidRDefault="00B2656C" w:rsidP="00B51F17">
      <w:pPr>
        <w:numPr>
          <w:ilvl w:val="1"/>
          <w:numId w:val="130"/>
        </w:numPr>
        <w:spacing w:after="0" w:line="280" w:lineRule="atLeast"/>
        <w:ind w:left="200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rPr>
        <w:t>DMRS bunding is per actual TDW</w:t>
      </w:r>
    </w:p>
    <w:p w14:paraId="04BAC883" w14:textId="77777777" w:rsidR="00B2656C" w:rsidRPr="00B2656C" w:rsidRDefault="00B2656C" w:rsidP="00B51F17">
      <w:pPr>
        <w:numPr>
          <w:ilvl w:val="1"/>
          <w:numId w:val="130"/>
        </w:numPr>
        <w:spacing w:after="0" w:line="280" w:lineRule="atLeast"/>
        <w:ind w:left="2007"/>
        <w:rPr>
          <w:rFonts w:ascii="Times New Roman" w:eastAsia="Batang" w:hAnsi="Times New Roman" w:cs="Times New Roman"/>
          <w:b/>
          <w:bCs/>
          <w:sz w:val="20"/>
          <w:szCs w:val="20"/>
          <w:lang w:val="en-GB" w:eastAsia="x-none"/>
        </w:rPr>
      </w:pPr>
      <w:r w:rsidRPr="00B2656C">
        <w:rPr>
          <w:rFonts w:ascii="Times New Roman" w:eastAsia="DengXian" w:hAnsi="Times New Roman" w:cs="Times New Roman"/>
          <w:b/>
          <w:bCs/>
          <w:sz w:val="20"/>
          <w:szCs w:val="20"/>
          <w:lang w:val="en-GB"/>
        </w:rPr>
        <w:t>FFS: Frequency hopping pattern is determined by physical slot indices.</w:t>
      </w:r>
    </w:p>
    <w:p w14:paraId="0CAAFD38" w14:textId="77777777" w:rsidR="00B2656C" w:rsidRPr="00B2656C" w:rsidRDefault="00B2656C" w:rsidP="00B51F17">
      <w:pPr>
        <w:numPr>
          <w:ilvl w:val="2"/>
          <w:numId w:val="130"/>
        </w:numPr>
        <w:spacing w:after="0" w:line="280" w:lineRule="atLeast"/>
        <w:ind w:left="2727"/>
        <w:rPr>
          <w:rFonts w:ascii="Times New Roman" w:eastAsia="Batang" w:hAnsi="Times New Roman" w:cs="Times New Roman"/>
          <w:b/>
          <w:bCs/>
          <w:sz w:val="20"/>
          <w:szCs w:val="20"/>
          <w:lang w:val="en-GB" w:eastAsia="x-none"/>
        </w:rPr>
      </w:pPr>
      <w:r w:rsidRPr="00B2656C">
        <w:rPr>
          <w:rFonts w:ascii="Times New Roman" w:eastAsia="DengXian" w:hAnsi="Times New Roman" w:cs="Times New Roman"/>
          <w:b/>
          <w:bCs/>
          <w:sz w:val="20"/>
          <w:szCs w:val="20"/>
          <w:lang w:val="en-GB"/>
        </w:rPr>
        <w:t>FFS: different FH pattern determination for PUCCH and PUSCH</w:t>
      </w:r>
    </w:p>
    <w:p w14:paraId="16C10698" w14:textId="77777777" w:rsidR="00B2656C" w:rsidRPr="00B2656C" w:rsidRDefault="00B2656C" w:rsidP="00B51F17">
      <w:pPr>
        <w:numPr>
          <w:ilvl w:val="2"/>
          <w:numId w:val="130"/>
        </w:numPr>
        <w:spacing w:after="0" w:line="280" w:lineRule="atLeast"/>
        <w:ind w:left="2727"/>
        <w:rPr>
          <w:rFonts w:ascii="Times New Roman" w:eastAsia="Batang" w:hAnsi="Times New Roman" w:cs="Times New Roman"/>
          <w:b/>
          <w:bCs/>
          <w:sz w:val="20"/>
          <w:szCs w:val="20"/>
          <w:lang w:val="en-GB" w:eastAsia="x-none"/>
        </w:rPr>
      </w:pPr>
      <w:r w:rsidRPr="00B2656C">
        <w:rPr>
          <w:rFonts w:ascii="Times New Roman" w:eastAsia="DengXian" w:hAnsi="Times New Roman" w:cs="Times New Roman"/>
          <w:b/>
          <w:bCs/>
          <w:sz w:val="20"/>
          <w:szCs w:val="20"/>
          <w:lang w:val="en-GB"/>
        </w:rPr>
        <w:t>FFS: details of FH pattern design</w:t>
      </w:r>
    </w:p>
    <w:p w14:paraId="0626A002" w14:textId="77777777" w:rsidR="00B2656C" w:rsidRPr="00B2656C" w:rsidRDefault="00B2656C" w:rsidP="00B51F17">
      <w:pPr>
        <w:numPr>
          <w:ilvl w:val="1"/>
          <w:numId w:val="130"/>
        </w:numPr>
        <w:spacing w:after="0" w:line="280" w:lineRule="atLeast"/>
        <w:ind w:left="200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eastAsia="x-none"/>
        </w:rPr>
        <w:t xml:space="preserve">Support separate RRC configuration(s) for hopping interval and configured TDW length. </w:t>
      </w:r>
    </w:p>
    <w:p w14:paraId="12D51557" w14:textId="77777777" w:rsidR="00B2656C" w:rsidRPr="00B2656C" w:rsidRDefault="00B2656C" w:rsidP="00B51F17">
      <w:pPr>
        <w:numPr>
          <w:ilvl w:val="2"/>
          <w:numId w:val="130"/>
        </w:numPr>
        <w:spacing w:after="0" w:line="280" w:lineRule="atLeast"/>
        <w:ind w:left="2727"/>
        <w:rPr>
          <w:rFonts w:ascii="Times New Roman" w:eastAsia="SimSun" w:hAnsi="Times New Roman" w:cs="Times New Roman"/>
          <w:b/>
          <w:bCs/>
          <w:sz w:val="20"/>
          <w:szCs w:val="20"/>
          <w:lang w:val="en-GB" w:eastAsia="x-none"/>
        </w:rPr>
      </w:pPr>
      <w:r w:rsidRPr="00B2656C">
        <w:rPr>
          <w:rFonts w:ascii="Times New Roman" w:eastAsia="SimSun" w:hAnsi="Times New Roman" w:cs="Times New Roman"/>
          <w:b/>
          <w:bCs/>
          <w:sz w:val="20"/>
          <w:szCs w:val="20"/>
          <w:lang w:val="en-GB" w:eastAsia="x-none"/>
        </w:rPr>
        <w:t>if hopping interval is not configured, the default hopping interval is the same as the configured TDW length</w:t>
      </w:r>
    </w:p>
    <w:p w14:paraId="13A06F51" w14:textId="77777777" w:rsidR="00B2656C" w:rsidRPr="00B2656C" w:rsidRDefault="00B2656C" w:rsidP="00B51F17">
      <w:pPr>
        <w:numPr>
          <w:ilvl w:val="3"/>
          <w:numId w:val="130"/>
        </w:numPr>
        <w:spacing w:after="0" w:line="280" w:lineRule="atLeast"/>
        <w:ind w:left="3447"/>
        <w:rPr>
          <w:rFonts w:ascii="Times New Roman" w:eastAsia="SimSun" w:hAnsi="Times New Roman" w:cs="Times New Roman"/>
          <w:b/>
          <w:bCs/>
          <w:sz w:val="20"/>
          <w:szCs w:val="20"/>
          <w:lang w:val="en-GB" w:eastAsia="x-none"/>
        </w:rPr>
      </w:pPr>
      <w:r w:rsidRPr="00B2656C">
        <w:rPr>
          <w:rFonts w:ascii="Times New Roman" w:eastAsia="SimSun" w:hAnsi="Times New Roman" w:cs="Times New Roman" w:hint="eastAsia"/>
          <w:b/>
          <w:bCs/>
          <w:sz w:val="20"/>
          <w:szCs w:val="20"/>
          <w:lang w:val="en-GB"/>
        </w:rPr>
        <w:t>F</w:t>
      </w:r>
      <w:r w:rsidRPr="00B2656C">
        <w:rPr>
          <w:rFonts w:ascii="Times New Roman" w:eastAsia="SimSun" w:hAnsi="Times New Roman" w:cs="Times New Roman"/>
          <w:b/>
          <w:bCs/>
          <w:sz w:val="20"/>
          <w:szCs w:val="20"/>
          <w:lang w:val="en-GB"/>
        </w:rPr>
        <w:t xml:space="preserve">FS: if both </w:t>
      </w:r>
      <w:r w:rsidRPr="00B2656C">
        <w:rPr>
          <w:rFonts w:ascii="Times New Roman" w:eastAsia="SimSun" w:hAnsi="Times New Roman" w:cs="Times New Roman"/>
          <w:b/>
          <w:bCs/>
          <w:sz w:val="20"/>
          <w:szCs w:val="20"/>
          <w:lang w:val="en-GB" w:eastAsia="x-none"/>
        </w:rPr>
        <w:t>hopping interval and TDW length are not configured</w:t>
      </w:r>
    </w:p>
    <w:p w14:paraId="0CDB3F8F" w14:textId="77777777" w:rsidR="00B2656C" w:rsidRPr="00B2656C" w:rsidRDefault="00B2656C" w:rsidP="00B51F17">
      <w:pPr>
        <w:numPr>
          <w:ilvl w:val="2"/>
          <w:numId w:val="130"/>
        </w:numPr>
        <w:spacing w:after="0" w:line="280" w:lineRule="atLeast"/>
        <w:ind w:left="2727"/>
        <w:rPr>
          <w:rFonts w:ascii="Times New Roman" w:eastAsia="SimSun" w:hAnsi="Times New Roman" w:cs="Times New Roman"/>
          <w:b/>
          <w:bCs/>
          <w:sz w:val="20"/>
          <w:szCs w:val="20"/>
          <w:lang w:val="en-GB" w:eastAsia="x-none"/>
        </w:rPr>
      </w:pPr>
      <w:r w:rsidRPr="00B2656C">
        <w:rPr>
          <w:rFonts w:ascii="Times New Roman" w:eastAsia="SimSun" w:hAnsi="Times New Roman" w:cs="Times New Roman" w:hint="eastAsia"/>
          <w:b/>
          <w:bCs/>
          <w:sz w:val="20"/>
          <w:szCs w:val="20"/>
          <w:lang w:val="en-GB"/>
        </w:rPr>
        <w:lastRenderedPageBreak/>
        <w:t>N</w:t>
      </w:r>
      <w:r w:rsidRPr="00B2656C">
        <w:rPr>
          <w:rFonts w:ascii="Times New Roman" w:eastAsia="SimSun" w:hAnsi="Times New Roman" w:cs="Times New Roman"/>
          <w:b/>
          <w:bCs/>
          <w:sz w:val="20"/>
          <w:szCs w:val="20"/>
          <w:lang w:val="en-GB"/>
        </w:rPr>
        <w:t xml:space="preserve">ote: </w:t>
      </w:r>
      <w:r w:rsidRPr="00B2656C">
        <w:rPr>
          <w:rFonts w:ascii="Times New Roman" w:eastAsia="SimSun" w:hAnsi="Times New Roman" w:cs="Times New Roman"/>
          <w:b/>
          <w:bCs/>
          <w:sz w:val="20"/>
          <w:szCs w:val="20"/>
          <w:lang w:val="en-GB" w:eastAsia="x-none"/>
        </w:rPr>
        <w:t>hopping interval is only determined by the configuration of hopping interval if hopping interval is configured</w:t>
      </w:r>
    </w:p>
    <w:bookmarkEnd w:id="2"/>
    <w:p w14:paraId="69719BFD" w14:textId="60C49696" w:rsidR="00B2656C" w:rsidRDefault="00B2656C" w:rsidP="00F56E2D">
      <w:pPr>
        <w:spacing w:before="120" w:after="120"/>
        <w:rPr>
          <w:lang w:val="en-GB"/>
        </w:rPr>
      </w:pPr>
      <w:r>
        <w:rPr>
          <w:lang w:val="en-GB"/>
        </w:rPr>
        <w:t>A UE first determines the frequency hopping interval, and so must find both the PRBs to use and the slots in which they are used</w:t>
      </w:r>
      <w:r w:rsidR="003773C4">
        <w:rPr>
          <w:lang w:val="en-GB"/>
        </w:rPr>
        <w:t>, i.e. it must first identify the frequency hopping pattern</w:t>
      </w:r>
      <w:r>
        <w:rPr>
          <w:lang w:val="en-GB"/>
        </w:rPr>
        <w:t xml:space="preserve">.  </w:t>
      </w:r>
      <w:r w:rsidR="003773C4">
        <w:rPr>
          <w:lang w:val="en-GB"/>
        </w:rPr>
        <w:t xml:space="preserve">To do so, it </w:t>
      </w:r>
      <w:r w:rsidR="00F94EFA">
        <w:rPr>
          <w:lang w:val="en-GB"/>
        </w:rPr>
        <w:t xml:space="preserve">can be </w:t>
      </w:r>
      <w:r w:rsidR="003773C4">
        <w:rPr>
          <w:lang w:val="en-GB"/>
        </w:rPr>
        <w:t>configured with a hopping pattern</w:t>
      </w:r>
      <w:r w:rsidR="00F94EFA">
        <w:rPr>
          <w:lang w:val="en-GB"/>
        </w:rPr>
        <w:t>, which is identified at least by a hopping interval</w:t>
      </w:r>
      <w:r w:rsidR="003773C4">
        <w:rPr>
          <w:lang w:val="en-GB"/>
        </w:rPr>
        <w:t xml:space="preserve">.  Given this hopping pattern, the next step is to identify the </w:t>
      </w:r>
      <w:r w:rsidR="00892FC2">
        <w:rPr>
          <w:lang w:val="en-GB"/>
        </w:rPr>
        <w:t xml:space="preserve">configured </w:t>
      </w:r>
      <w:r w:rsidR="003773C4">
        <w:rPr>
          <w:lang w:val="en-GB"/>
        </w:rPr>
        <w:t xml:space="preserve">TDW, which starts and ends with the first and last PUSCH transmission, but does not necessarily coincide with the start or end of the frequency hopping pattern.  Lastly, </w:t>
      </w:r>
      <w:bookmarkStart w:id="3" w:name="OLE_LINK31"/>
      <w:r w:rsidR="003773C4">
        <w:rPr>
          <w:lang w:val="en-GB"/>
        </w:rPr>
        <w:t xml:space="preserve">the CTDW is segmented into </w:t>
      </w:r>
      <w:r w:rsidR="00892FC2">
        <w:rPr>
          <w:lang w:val="en-GB"/>
        </w:rPr>
        <w:t xml:space="preserve">actual </w:t>
      </w:r>
      <w:r w:rsidR="003773C4">
        <w:rPr>
          <w:lang w:val="en-GB"/>
        </w:rPr>
        <w:t>TDW</w:t>
      </w:r>
      <w:r w:rsidR="00892FC2">
        <w:rPr>
          <w:lang w:val="en-GB"/>
        </w:rPr>
        <w:t>s (one</w:t>
      </w:r>
      <w:r w:rsidR="003773C4">
        <w:rPr>
          <w:lang w:val="en-GB"/>
        </w:rPr>
        <w:t xml:space="preserve"> per hop</w:t>
      </w:r>
      <w:r w:rsidR="00892FC2">
        <w:rPr>
          <w:lang w:val="en-GB"/>
        </w:rPr>
        <w:t>)</w:t>
      </w:r>
      <w:r w:rsidR="003773C4">
        <w:rPr>
          <w:lang w:val="en-GB"/>
        </w:rPr>
        <w:t xml:space="preserve">, </w:t>
      </w:r>
      <w:bookmarkEnd w:id="3"/>
      <w:r w:rsidR="003773C4">
        <w:rPr>
          <w:lang w:val="en-GB"/>
        </w:rPr>
        <w:t xml:space="preserve">where a hop can be one or multiple </w:t>
      </w:r>
      <w:r w:rsidR="00F94EFA">
        <w:rPr>
          <w:lang w:val="en-GB"/>
        </w:rPr>
        <w:t>slots long (as determined by the hopping pattern).</w:t>
      </w:r>
    </w:p>
    <w:p w14:paraId="31F0CEF4" w14:textId="767BE639" w:rsidR="00E74DE1" w:rsidRDefault="00E74DE1" w:rsidP="00952A87">
      <w:r>
        <w:t xml:space="preserve">Because the frequency hopping pattern is determined first, UE specific behaviors from TDW determination will not affect the hopping pattern.  This allows UEs to have compatible frequency hopping patterns over a cell, where independent of scheduling, the hopping offsets are set according to a slot number, as is done for Rel-15/16 PUSCH inter-slot hopping.  It is possible to use dynamic scheduling to shift the frequency hopping pattern by selecting the starting RBs appropriately.  However, </w:t>
      </w:r>
      <w:r w:rsidR="00AD38C4">
        <w:t xml:space="preserve">since a UE may transmit a first repetition in different slots for configured grant operation, hopping based on the repetition number would result in UEs occupying different PRBs in a given slot, making it difficult to schedule PUSCH frequency domain resources efficiently.  </w:t>
      </w:r>
    </w:p>
    <w:p w14:paraId="242484A5" w14:textId="18630BB4" w:rsidR="00335FF3" w:rsidRDefault="00335FF3" w:rsidP="00335FF3">
      <w:r>
        <w:t xml:space="preserve">In Rel-15/16, </w:t>
      </w:r>
      <w:bookmarkStart w:id="4" w:name="_Hlk92546764"/>
      <w:r>
        <w:t>the inter-slot PUCCH frequency hopping pattern uses available slot counting starting with a first repetition, rather than a slot counter to determine the frequency hopping offset as is done for PUSCH.  This has the benefit that the UE always follows the same hopping pattern, and therefore the same number of different sets of PRBs, independent of the slots in which it is repeated.  However, because PUCCH repetition is in consecutive available slots, the UE tends to hop every other transmission even in TDD where slot based counting could miss hops, such that there is little difference between the performance of slot based hopping and Rel-15/16 inter-slot PUCCH frequency hopping.  On the other hand, varying the hopping pattern according to the PUCCH scheduling means that it is difficult to schedule UEs in the same set of PRBs, since the hopping patterns can collide (as observed above for PUSCH).  If heavy repetition is used, then the loss of resource efficiency could be high.  This resource loss will be exacerbated since the frequency hopping patterns will be different from Rel-15.  Lastly, since hopping for PUCCH and PUSCH is slot based and per-UE based in Rel-15/16, this makes it more difficult for resource allocation to share PRBs among hopped PUCCH and PUSCH.</w:t>
      </w:r>
      <w:bookmarkEnd w:id="4"/>
    </w:p>
    <w:p w14:paraId="684C2A9F" w14:textId="73EEF50E" w:rsidR="00952A87" w:rsidRDefault="00EA3A1E" w:rsidP="00952A87">
      <w:pPr>
        <w:rPr>
          <w:lang w:val="en-GB"/>
        </w:rPr>
      </w:pPr>
      <w:r>
        <w:rPr>
          <w:lang w:val="en-GB"/>
        </w:rPr>
        <w:t xml:space="preserve">There are a number of alternatives to the design of the frequency hopping pattern.  </w:t>
      </w:r>
      <w:r w:rsidR="00E82568">
        <w:rPr>
          <w:lang w:val="en-GB"/>
        </w:rPr>
        <w:t>For example, from the perspective of joint channel estimation over multiple slots, e.g. 8 repetitions, there should not be a frequency hop at every slot, but</w:t>
      </w:r>
      <w:r w:rsidR="00F20C56">
        <w:rPr>
          <w:lang w:val="en-GB"/>
        </w:rPr>
        <w:t xml:space="preserve"> the </w:t>
      </w:r>
      <w:r w:rsidR="00E82568">
        <w:rPr>
          <w:lang w:val="en-GB"/>
        </w:rPr>
        <w:t xml:space="preserve">slots on one frequency should rather be grouped in time for maximum benefit from joint channel estimation. On the other hand, for </w:t>
      </w:r>
      <w:r w:rsidR="00F20C56">
        <w:rPr>
          <w:lang w:val="en-GB"/>
        </w:rPr>
        <w:t>UEs with good channel quality, there may be fewer repetitions needed, in which case hopping at every slot could be optimal. If the UE has a short time domain window for joint channel estimation, more frequent hopping may also be preferable. The same holds for UEs at high speed. Hence, there are several</w:t>
      </w:r>
      <w:r w:rsidR="006C08BE">
        <w:rPr>
          <w:lang w:val="en-GB"/>
        </w:rPr>
        <w:t xml:space="preserve"> aspects of</w:t>
      </w:r>
      <w:r w:rsidR="00F20C56">
        <w:rPr>
          <w:lang w:val="en-GB"/>
        </w:rPr>
        <w:t xml:space="preserve"> </w:t>
      </w:r>
      <w:proofErr w:type="spellStart"/>
      <w:r w:rsidR="00F20C56">
        <w:rPr>
          <w:lang w:val="en-GB"/>
        </w:rPr>
        <w:t>tradeoff</w:t>
      </w:r>
      <w:r w:rsidR="008D041C">
        <w:rPr>
          <w:lang w:val="en-GB"/>
        </w:rPr>
        <w:t>s</w:t>
      </w:r>
      <w:proofErr w:type="spellEnd"/>
      <w:r w:rsidR="00F20C56">
        <w:rPr>
          <w:lang w:val="en-GB"/>
        </w:rPr>
        <w:t xml:space="preserve"> </w:t>
      </w:r>
      <w:r w:rsidR="00A27FAA">
        <w:rPr>
          <w:lang w:val="en-GB"/>
        </w:rPr>
        <w:t xml:space="preserve">to consider </w:t>
      </w:r>
      <w:r w:rsidR="00F20C56">
        <w:rPr>
          <w:lang w:val="en-GB"/>
        </w:rPr>
        <w:t xml:space="preserve">between frequency hopping patterns and joint channel estimation. </w:t>
      </w:r>
      <w:r w:rsidR="00952A87">
        <w:rPr>
          <w:lang w:val="en-GB"/>
        </w:rPr>
        <w:t xml:space="preserve">Not all UEs in a cell may benefit from, or even support, joint channel estimation, but such UEs may need to use the same hopping pattern in order to make efficient use of PUSCH resource in a cell. Therefore, it would be beneficial to configure the newly defined hopping patterns for UEs not supporting DMRS bundling. </w:t>
      </w:r>
      <w:r w:rsidR="00873A45">
        <w:lastRenderedPageBreak/>
        <w:t xml:space="preserve">Moreover, as shown in </w:t>
      </w:r>
      <w:r w:rsidR="00873A45">
        <w:fldChar w:fldCharType="begin"/>
      </w:r>
      <w:r w:rsidR="00873A45">
        <w:instrText xml:space="preserve"> REF _Ref83911612 \r \h </w:instrText>
      </w:r>
      <w:r w:rsidR="00873A45">
        <w:fldChar w:fldCharType="separate"/>
      </w:r>
      <w:r w:rsidR="00F843F8">
        <w:t>[1]</w:t>
      </w:r>
      <w:r w:rsidR="00873A45">
        <w:fldChar w:fldCharType="end"/>
      </w:r>
      <w:r w:rsidR="00873A45">
        <w:t>, TBoMS also benefits from new FH patterns.</w:t>
      </w:r>
      <w:r w:rsidR="00B4756D">
        <w:t xml:space="preserve">  Similarly, </w:t>
      </w:r>
      <w:r w:rsidR="00B4756D">
        <w:fldChar w:fldCharType="begin"/>
      </w:r>
      <w:r w:rsidR="00B4756D">
        <w:instrText xml:space="preserve"> REF _Ref87050047 \r \h </w:instrText>
      </w:r>
      <w:r w:rsidR="00B4756D">
        <w:fldChar w:fldCharType="separate"/>
      </w:r>
      <w:r w:rsidR="00F843F8">
        <w:t>[2]</w:t>
      </w:r>
      <w:r w:rsidR="00B4756D">
        <w:fldChar w:fldCharType="end"/>
      </w:r>
      <w:r w:rsidR="00B4756D">
        <w:t xml:space="preserve"> shows that the new FH patterns also bring gains for the PUCCH.</w:t>
      </w:r>
    </w:p>
    <w:p w14:paraId="038049BD" w14:textId="5CB4E3B1" w:rsidR="00B41A04" w:rsidRDefault="00952A87" w:rsidP="00BB2174">
      <w:r>
        <w:rPr>
          <w:lang w:val="en-GB"/>
        </w:rPr>
        <w:t xml:space="preserve">For all these reasons, </w:t>
      </w:r>
      <w:r w:rsidR="00EA3A1E">
        <w:rPr>
          <w:lang w:val="en-GB"/>
        </w:rPr>
        <w:t xml:space="preserve">not only </w:t>
      </w:r>
      <w:r>
        <w:rPr>
          <w:lang w:val="en-GB"/>
        </w:rPr>
        <w:t xml:space="preserve">should </w:t>
      </w:r>
      <w:r w:rsidR="00EA3A1E">
        <w:rPr>
          <w:lang w:val="en-GB"/>
        </w:rPr>
        <w:t xml:space="preserve">it </w:t>
      </w:r>
      <w:r>
        <w:rPr>
          <w:lang w:val="en-GB"/>
        </w:rPr>
        <w:t>be possible to configure the</w:t>
      </w:r>
      <w:r w:rsidR="007B4329">
        <w:t xml:space="preserve"> FH configuration </w:t>
      </w:r>
      <w:r w:rsidR="00873A45">
        <w:t>independently of any JCE windows</w:t>
      </w:r>
      <w:r w:rsidR="00EA3A1E">
        <w:t xml:space="preserve"> as agreed above</w:t>
      </w:r>
      <w:r w:rsidR="00873A45">
        <w:t xml:space="preserve">, </w:t>
      </w:r>
      <w:r w:rsidR="00EA3A1E">
        <w:t xml:space="preserve">but </w:t>
      </w:r>
      <w:r w:rsidR="00873A45">
        <w:t xml:space="preserve">the patterns should be configurable for all UEs, even if they do not </w:t>
      </w:r>
      <w:r w:rsidR="00351E6B">
        <w:t xml:space="preserve">support </w:t>
      </w:r>
      <w:r w:rsidR="00B41A04">
        <w:t>DMRS bundling</w:t>
      </w:r>
      <w:r w:rsidR="00873A45">
        <w:t>.</w:t>
      </w:r>
    </w:p>
    <w:p w14:paraId="578EF477" w14:textId="77777777" w:rsidR="00B41A04" w:rsidRDefault="00B41A04" w:rsidP="00B86658">
      <w:pPr>
        <w:keepNext/>
        <w:spacing w:after="0"/>
        <w:rPr>
          <w:rFonts w:ascii="Times" w:eastAsia="Yu Mincho" w:hAnsi="Times" w:cs="Times New Roman"/>
          <w:sz w:val="20"/>
          <w:szCs w:val="24"/>
          <w:highlight w:val="green"/>
          <w:u w:val="single"/>
          <w:lang w:eastAsia="ja-JP"/>
        </w:rPr>
      </w:pPr>
      <w:r>
        <w:rPr>
          <w:rFonts w:eastAsia="Yu Mincho"/>
          <w:highlight w:val="green"/>
          <w:u w:val="single"/>
          <w:lang w:eastAsia="ja-JP"/>
        </w:rPr>
        <w:t>Agreement:</w:t>
      </w:r>
    </w:p>
    <w:p w14:paraId="22454E34" w14:textId="77777777" w:rsidR="00B41A04" w:rsidRPr="00BB2174" w:rsidRDefault="00B41A04" w:rsidP="00B41A04">
      <w:pPr>
        <w:pStyle w:val="ListParagraph"/>
        <w:numPr>
          <w:ilvl w:val="0"/>
          <w:numId w:val="93"/>
        </w:numPr>
        <w:overflowPunct w:val="0"/>
        <w:autoSpaceDE w:val="0"/>
        <w:autoSpaceDN w:val="0"/>
        <w:adjustRightInd w:val="0"/>
        <w:spacing w:line="256" w:lineRule="auto"/>
        <w:contextualSpacing w:val="0"/>
        <w:textAlignment w:val="baseline"/>
        <w:rPr>
          <w:rFonts w:eastAsia="Yu Mincho"/>
        </w:rPr>
      </w:pPr>
      <w:r>
        <w:rPr>
          <w:rFonts w:eastAsia="Yu Mincho"/>
        </w:rPr>
        <w:t xml:space="preserve">For Rel-17 PUSCH repetition Type A without joint channel estimation, no new inter-slot frequency hopping mechanism is introduced. </w:t>
      </w:r>
    </w:p>
    <w:p w14:paraId="02C616C8" w14:textId="0710ED97" w:rsidR="00873A45" w:rsidRDefault="00873A45" w:rsidP="00B86658">
      <w:pPr>
        <w:pStyle w:val="BodyText"/>
      </w:pPr>
      <w:r>
        <w:t xml:space="preserve">This conclusion might </w:t>
      </w:r>
      <w:r w:rsidR="00981338">
        <w:t>appear</w:t>
      </w:r>
      <w:r>
        <w:t xml:space="preserve"> to contradict the above agreement on not introducing a</w:t>
      </w:r>
      <w:r w:rsidR="008F7BF3">
        <w:t>ny</w:t>
      </w:r>
      <w:r>
        <w:t xml:space="preserve"> new FH mechanism for Type A repetition, but that agreement was, in our understanding, written with the intention of precluding FH patterns based on available UL slots</w:t>
      </w:r>
      <w:r w:rsidR="00EA3A1E">
        <w:t xml:space="preserve"> for PUSCH</w:t>
      </w:r>
      <w:r>
        <w:t xml:space="preserve">. Also, it was well understood that frequency hopping patterns are being developed in JCE, and so discussion should be done in one place, </w:t>
      </w:r>
      <w:r w:rsidR="00981338">
        <w:t xml:space="preserve">i.e. </w:t>
      </w:r>
      <w:r>
        <w:t>in the context of JCE. Thus, the agreement preclude</w:t>
      </w:r>
      <w:r w:rsidR="008F7BF3">
        <w:t>s</w:t>
      </w:r>
      <w:r>
        <w:t xml:space="preserve"> development of new patterns specifically for Type A repetition, </w:t>
      </w:r>
      <w:r w:rsidR="00981338">
        <w:t xml:space="preserve">but does </w:t>
      </w:r>
      <w:r>
        <w:t xml:space="preserve">not </w:t>
      </w:r>
      <w:r w:rsidR="00981338">
        <w:t>preclude</w:t>
      </w:r>
      <w:r>
        <w:t xml:space="preserve"> use of patterns already developed for JCE also in non-JCE situations.</w:t>
      </w:r>
    </w:p>
    <w:p w14:paraId="16AB1C96" w14:textId="70E4D1FC" w:rsidR="00AE43D1" w:rsidRDefault="00AE43D1" w:rsidP="00F06536">
      <w:pPr>
        <w:pStyle w:val="BodyText"/>
        <w:keepNext/>
        <w:spacing w:after="0"/>
        <w:rPr>
          <w:rFonts w:cstheme="minorHAnsi"/>
          <w:b/>
          <w:bCs/>
        </w:rPr>
      </w:pPr>
      <w:bookmarkStart w:id="5" w:name="_Hlk92557463"/>
      <w:r>
        <w:rPr>
          <w:rFonts w:cstheme="minorHAnsi"/>
          <w:b/>
          <w:bCs/>
        </w:rPr>
        <w:t>Observation</w:t>
      </w:r>
      <w:r w:rsidR="00C80090">
        <w:rPr>
          <w:rFonts w:cstheme="minorHAnsi"/>
          <w:b/>
          <w:bCs/>
        </w:rPr>
        <w:t>s</w:t>
      </w:r>
      <w:r>
        <w:rPr>
          <w:b/>
        </w:rPr>
        <w:t xml:space="preserve"> </w:t>
      </w:r>
      <w:r w:rsidR="0090358E">
        <w:rPr>
          <w:b/>
          <w:bCs/>
        </w:rPr>
        <w:t>1-4</w:t>
      </w:r>
      <w:r>
        <w:rPr>
          <w:rFonts w:cstheme="minorHAnsi"/>
          <w:b/>
          <w:bCs/>
        </w:rPr>
        <w:t>:</w:t>
      </w:r>
      <w:r w:rsidR="00C04577">
        <w:rPr>
          <w:rFonts w:cstheme="minorHAnsi"/>
          <w:b/>
          <w:bCs/>
        </w:rPr>
        <w:t xml:space="preserve"> </w:t>
      </w:r>
    </w:p>
    <w:p w14:paraId="7020F4B4" w14:textId="68ED7C69" w:rsidR="00E87DB6" w:rsidRDefault="00E87DB6" w:rsidP="00E87DB6">
      <w:pPr>
        <w:pStyle w:val="BodyText"/>
        <w:keepNext/>
        <w:numPr>
          <w:ilvl w:val="0"/>
          <w:numId w:val="73"/>
        </w:numPr>
        <w:spacing w:after="0"/>
        <w:rPr>
          <w:rFonts w:cstheme="minorHAnsi"/>
          <w:bCs/>
        </w:rPr>
      </w:pPr>
      <w:r>
        <w:rPr>
          <w:rFonts w:cstheme="minorHAnsi"/>
          <w:bCs/>
        </w:rPr>
        <w:t xml:space="preserve">Determining </w:t>
      </w:r>
      <w:r w:rsidR="00BB5160">
        <w:rPr>
          <w:rFonts w:cstheme="minorHAnsi"/>
          <w:bCs/>
        </w:rPr>
        <w:t xml:space="preserve">frequency </w:t>
      </w:r>
      <w:r>
        <w:rPr>
          <w:rFonts w:cstheme="minorHAnsi"/>
          <w:bCs/>
        </w:rPr>
        <w:t>hopping offsets per slot rather than per repetition allows UEs to share frequency resources more efficiently, since collisions in the hopping pattern</w:t>
      </w:r>
      <w:r w:rsidR="003C20FB">
        <w:rPr>
          <w:rFonts w:cstheme="minorHAnsi"/>
          <w:bCs/>
        </w:rPr>
        <w:t>s</w:t>
      </w:r>
      <w:r>
        <w:rPr>
          <w:rFonts w:cstheme="minorHAnsi"/>
          <w:bCs/>
        </w:rPr>
        <w:t xml:space="preserve"> can be avoided</w:t>
      </w:r>
    </w:p>
    <w:p w14:paraId="637B28AF" w14:textId="086FC0FB" w:rsidR="00307467" w:rsidRPr="00D97235" w:rsidRDefault="00307467" w:rsidP="00307467">
      <w:pPr>
        <w:pStyle w:val="BodyText"/>
        <w:keepNext/>
        <w:numPr>
          <w:ilvl w:val="0"/>
          <w:numId w:val="73"/>
        </w:numPr>
        <w:spacing w:after="0"/>
        <w:rPr>
          <w:rFonts w:cstheme="minorHAnsi"/>
          <w:bCs/>
        </w:rPr>
      </w:pPr>
      <w:r>
        <w:t>Per</w:t>
      </w:r>
      <w:r w:rsidR="00983C69">
        <w:t xml:space="preserve"> repetition</w:t>
      </w:r>
      <w:r>
        <w:t xml:space="preserve"> frequency hopping </w:t>
      </w:r>
      <w:r w:rsidR="00F10754">
        <w:t xml:space="preserve">patterns are </w:t>
      </w:r>
      <w:r>
        <w:t xml:space="preserve">used for PUCCH in Rel-15/16, </w:t>
      </w:r>
      <w:r w:rsidR="00630097">
        <w:t>however:</w:t>
      </w:r>
    </w:p>
    <w:p w14:paraId="30FF79B2" w14:textId="1E8C0F9A" w:rsidR="00307467" w:rsidRPr="00D97235" w:rsidRDefault="00630097" w:rsidP="00307467">
      <w:pPr>
        <w:pStyle w:val="BodyText"/>
        <w:keepNext/>
        <w:numPr>
          <w:ilvl w:val="1"/>
          <w:numId w:val="73"/>
        </w:numPr>
        <w:spacing w:after="0"/>
        <w:rPr>
          <w:rFonts w:cstheme="minorHAnsi"/>
          <w:bCs/>
        </w:rPr>
      </w:pPr>
      <w:r>
        <w:t>B</w:t>
      </w:r>
      <w:r w:rsidR="00307467">
        <w:t xml:space="preserve">ecause Rel-17 frequency hopping patterns are different, and especially if heavy repetition is </w:t>
      </w:r>
      <w:r w:rsidR="00F10754">
        <w:t>used, the impact on spectral efficiency is greater than in Rel-15/16</w:t>
      </w:r>
    </w:p>
    <w:p w14:paraId="1EA45158" w14:textId="6AEE9AAC" w:rsidR="005F14CA" w:rsidRPr="00D97235" w:rsidRDefault="005F14CA" w:rsidP="00307467">
      <w:pPr>
        <w:pStyle w:val="BodyText"/>
        <w:keepNext/>
        <w:numPr>
          <w:ilvl w:val="1"/>
          <w:numId w:val="73"/>
        </w:numPr>
        <w:spacing w:after="0"/>
        <w:rPr>
          <w:rFonts w:cstheme="minorHAnsi"/>
          <w:bCs/>
        </w:rPr>
      </w:pPr>
      <w:r>
        <w:t>This use of new patterns means that backward compatibility does not motivate the use of per</w:t>
      </w:r>
      <w:r w:rsidR="00983C69">
        <w:t xml:space="preserve"> repetition</w:t>
      </w:r>
      <w:r>
        <w:t xml:space="preserve"> frequency hopping</w:t>
      </w:r>
    </w:p>
    <w:p w14:paraId="193D6F2B" w14:textId="75B60C25" w:rsidR="00F10754" w:rsidRPr="009B1608" w:rsidRDefault="00F10754" w:rsidP="00D97235">
      <w:pPr>
        <w:pStyle w:val="BodyText"/>
        <w:keepNext/>
        <w:numPr>
          <w:ilvl w:val="1"/>
          <w:numId w:val="73"/>
        </w:numPr>
        <w:spacing w:after="0"/>
        <w:rPr>
          <w:rFonts w:cstheme="minorHAnsi"/>
          <w:bCs/>
        </w:rPr>
      </w:pPr>
      <w:r>
        <w:t>Using slot based frequency hopping patterns for both PUCCH and PUSCH could further enhance spectral efficiency.</w:t>
      </w:r>
    </w:p>
    <w:p w14:paraId="48D77115" w14:textId="77777777" w:rsidR="00E87DB6" w:rsidRPr="00D97235" w:rsidRDefault="00E87DB6" w:rsidP="00E87DB6">
      <w:pPr>
        <w:pStyle w:val="BodyText"/>
        <w:keepNext/>
        <w:numPr>
          <w:ilvl w:val="0"/>
          <w:numId w:val="73"/>
        </w:numPr>
        <w:spacing w:after="0"/>
        <w:rPr>
          <w:rFonts w:cstheme="minorHAnsi"/>
          <w:bCs/>
        </w:rPr>
      </w:pPr>
      <w:r>
        <w:t>Not all UEs may benefit from, or support, DMRS bundling, but such UEs should be able to hop with the same patterns used by DMRS bundling UEs in the same cell in order to maintain spectral efficiency when frequency hopping is used in the cell.</w:t>
      </w:r>
    </w:p>
    <w:p w14:paraId="3778C918" w14:textId="01A25D17" w:rsidR="00A57137" w:rsidRPr="00340B8C" w:rsidRDefault="00A57137" w:rsidP="00B86658">
      <w:pPr>
        <w:pStyle w:val="BodyText"/>
        <w:keepNext/>
        <w:numPr>
          <w:ilvl w:val="0"/>
          <w:numId w:val="73"/>
        </w:numPr>
        <w:rPr>
          <w:rFonts w:cstheme="minorHAnsi"/>
          <w:bCs/>
        </w:rPr>
      </w:pPr>
      <w:r>
        <w:t xml:space="preserve">Gain </w:t>
      </w:r>
      <w:r w:rsidR="008912CD">
        <w:t>tradeoffs from joint channel estimation and frequency hopping can vary e.g. with speed, or on ch</w:t>
      </w:r>
      <w:r w:rsidR="00600B43">
        <w:t>annel conditions for a given UE.</w:t>
      </w:r>
    </w:p>
    <w:bookmarkEnd w:id="5"/>
    <w:p w14:paraId="2A7E6B9D" w14:textId="33248CDF" w:rsidR="00AE43D1" w:rsidRPr="0068787E" w:rsidRDefault="00AE43D1" w:rsidP="00AE43D1">
      <w:pPr>
        <w:pStyle w:val="BodyText"/>
        <w:keepNext/>
        <w:spacing w:after="0"/>
        <w:rPr>
          <w:b/>
        </w:rPr>
      </w:pPr>
      <w:r w:rsidRPr="00BE3128">
        <w:rPr>
          <w:b/>
        </w:rPr>
        <w:t>Proposal</w:t>
      </w:r>
      <w:r w:rsidR="0090358E">
        <w:rPr>
          <w:b/>
          <w:bCs/>
        </w:rPr>
        <w:t xml:space="preserve"> 1&amp;2</w:t>
      </w:r>
      <w:r w:rsidR="009733E4">
        <w:rPr>
          <w:b/>
        </w:rPr>
        <w:t>:</w:t>
      </w:r>
    </w:p>
    <w:p w14:paraId="4F00F017" w14:textId="12B51123" w:rsidR="001B0F14" w:rsidRPr="00B51F17" w:rsidRDefault="00F234EF" w:rsidP="00B51F17">
      <w:pPr>
        <w:pStyle w:val="BodyText"/>
        <w:numPr>
          <w:ilvl w:val="0"/>
          <w:numId w:val="61"/>
        </w:numPr>
        <w:spacing w:after="0"/>
        <w:rPr>
          <w:rFonts w:cstheme="minorHAnsi"/>
        </w:rPr>
      </w:pPr>
      <w:r w:rsidRPr="00543F18">
        <w:rPr>
          <w:rFonts w:cstheme="minorHAnsi"/>
          <w:lang w:val="en-GB"/>
        </w:rPr>
        <w:t xml:space="preserve">UE capability for </w:t>
      </w:r>
      <w:r w:rsidR="00A20EF8" w:rsidRPr="00543F18">
        <w:rPr>
          <w:rFonts w:cstheme="minorHAnsi"/>
          <w:lang w:val="en-GB"/>
        </w:rPr>
        <w:t xml:space="preserve">the </w:t>
      </w:r>
      <w:r w:rsidRPr="00543F18">
        <w:rPr>
          <w:rFonts w:cstheme="minorHAnsi"/>
          <w:lang w:val="en-GB"/>
        </w:rPr>
        <w:t xml:space="preserve">new </w:t>
      </w:r>
      <w:r w:rsidR="00A20EF8" w:rsidRPr="00543F18">
        <w:rPr>
          <w:rFonts w:cstheme="minorHAnsi"/>
          <w:lang w:val="en-GB"/>
        </w:rPr>
        <w:t xml:space="preserve">frequency hopping pattern </w:t>
      </w:r>
      <w:r w:rsidRPr="00543F18">
        <w:rPr>
          <w:rFonts w:cstheme="minorHAnsi"/>
          <w:lang w:val="en-GB"/>
        </w:rPr>
        <w:t xml:space="preserve">is </w:t>
      </w:r>
      <w:r w:rsidR="00A20EF8" w:rsidRPr="00543F18">
        <w:rPr>
          <w:rFonts w:cstheme="minorHAnsi"/>
          <w:lang w:val="en-GB"/>
        </w:rPr>
        <w:t>independent from th</w:t>
      </w:r>
      <w:r w:rsidRPr="00543F18">
        <w:rPr>
          <w:rFonts w:cstheme="minorHAnsi"/>
          <w:lang w:val="en-GB"/>
        </w:rPr>
        <w:t xml:space="preserve">at </w:t>
      </w:r>
      <w:r w:rsidR="00A20EF8" w:rsidRPr="00543F18">
        <w:rPr>
          <w:rFonts w:cstheme="minorHAnsi"/>
          <w:lang w:val="en-GB"/>
        </w:rPr>
        <w:t xml:space="preserve">of </w:t>
      </w:r>
      <w:r w:rsidRPr="00543F18">
        <w:rPr>
          <w:rFonts w:cstheme="minorHAnsi"/>
          <w:lang w:val="en-GB"/>
        </w:rPr>
        <w:t>DMRS bundling.</w:t>
      </w:r>
    </w:p>
    <w:p w14:paraId="741F4700" w14:textId="126C16BB" w:rsidR="00F10754" w:rsidRPr="00543F18" w:rsidRDefault="00630097" w:rsidP="00B51F17">
      <w:pPr>
        <w:pStyle w:val="ListParagraph"/>
        <w:numPr>
          <w:ilvl w:val="0"/>
          <w:numId w:val="61"/>
        </w:numPr>
        <w:rPr>
          <w:rFonts w:cstheme="minorHAnsi"/>
        </w:rPr>
      </w:pPr>
      <w:r w:rsidRPr="00F71037">
        <w:rPr>
          <w:rFonts w:asciiTheme="minorHAnsi" w:hAnsiTheme="minorHAnsi" w:cstheme="minorHAnsi"/>
          <w:lang w:val="en-GB"/>
        </w:rPr>
        <w:t>The hopping offsets are determined by the slot index</w:t>
      </w:r>
      <w:r w:rsidRPr="00B51F17">
        <w:rPr>
          <w:rFonts w:asciiTheme="minorHAnsi" w:hAnsiTheme="minorHAnsi" w:cstheme="minorHAnsi"/>
          <w:lang w:val="en-GB"/>
        </w:rPr>
        <w:t xml:space="preserve"> </w:t>
      </w:r>
      <w:r w:rsidR="00F10754" w:rsidRPr="00B51F17">
        <w:rPr>
          <w:rFonts w:asciiTheme="minorHAnsi" w:hAnsiTheme="minorHAnsi" w:cstheme="minorHAnsi"/>
          <w:lang w:val="en-GB"/>
        </w:rPr>
        <w:t>for both PUSCH and PUCCH</w:t>
      </w:r>
    </w:p>
    <w:p w14:paraId="6D435DE5" w14:textId="62D8E91A" w:rsidR="005B1196" w:rsidRDefault="005B1196" w:rsidP="00B51F17">
      <w:pPr>
        <w:pStyle w:val="Heading3"/>
      </w:pPr>
      <w:bookmarkStart w:id="6" w:name="_Ref92399316"/>
      <w:r>
        <w:t>Frequency hopping pattern design</w:t>
      </w:r>
      <w:bookmarkEnd w:id="6"/>
    </w:p>
    <w:p w14:paraId="17FDC53D" w14:textId="33D78D88" w:rsidR="00393BDE" w:rsidRDefault="00873A45" w:rsidP="00B86658">
      <w:pPr>
        <w:pStyle w:val="BodyText"/>
      </w:pPr>
      <w:r>
        <w:t>Designing FH patterns supporting all these use cases may seem challenging. However, o</w:t>
      </w:r>
      <w:r w:rsidR="00393BDE">
        <w:t xml:space="preserve">ne approach that </w:t>
      </w:r>
      <w:r>
        <w:t>can</w:t>
      </w:r>
      <w:r w:rsidR="00393BDE">
        <w:t xml:space="preserve"> work well in </w:t>
      </w:r>
      <w:r>
        <w:t>many scenarios</w:t>
      </w:r>
      <w:r w:rsidR="00393BDE">
        <w:t xml:space="preserve"> is to base </w:t>
      </w:r>
      <w:r>
        <w:t>the FH pattern</w:t>
      </w:r>
      <w:r w:rsidR="00393BDE">
        <w:t xml:space="preserve"> on system frame timing and system slots (as opposed to UL slot</w:t>
      </w:r>
      <w:r w:rsidR="008059F9">
        <w:t>s</w:t>
      </w:r>
      <w:r w:rsidR="00F843F8">
        <w:t xml:space="preserve"> or ‘available slots’</w:t>
      </w:r>
      <w:r w:rsidR="00393BDE">
        <w:t xml:space="preserve">). For example, a simple method </w:t>
      </w:r>
      <w:r w:rsidR="0080708F">
        <w:t>could be</w:t>
      </w:r>
      <w:r w:rsidR="00393BDE">
        <w:t xml:space="preserve"> </w:t>
      </w:r>
      <w:r w:rsidR="00222AFD">
        <w:t>to</w:t>
      </w:r>
      <w:r w:rsidR="00393BDE">
        <w:t xml:space="preserve"> </w:t>
      </w:r>
      <w:r w:rsidR="0063593C">
        <w:t xml:space="preserve">have a hopping index that </w:t>
      </w:r>
      <w:r w:rsidR="006916B5">
        <w:t>alternates betw</w:t>
      </w:r>
      <w:r w:rsidR="0014078E">
        <w:t>e</w:t>
      </w:r>
      <w:r w:rsidR="006916B5">
        <w:t xml:space="preserve">en 0 and 1 every </w:t>
      </w:r>
      <w:r w:rsidR="006916B5" w:rsidRPr="00BB2174">
        <w:rPr>
          <w:i/>
        </w:rPr>
        <w:t>N</w:t>
      </w:r>
      <w:r w:rsidR="006916B5">
        <w:t xml:space="preserve"> slots, i.e. the index </w:t>
      </w:r>
      <w:r w:rsidR="0063593C">
        <w:t xml:space="preserve">is 0 for </w:t>
      </w:r>
      <w:r w:rsidR="0063593C" w:rsidRPr="00BB2174">
        <w:rPr>
          <w:i/>
        </w:rPr>
        <w:t>N</w:t>
      </w:r>
      <w:r w:rsidR="0063593C">
        <w:t xml:space="preserve"> slots, then 1 for </w:t>
      </w:r>
      <w:r w:rsidR="0063593C" w:rsidRPr="00BB2174">
        <w:rPr>
          <w:i/>
        </w:rPr>
        <w:t>N</w:t>
      </w:r>
      <w:r w:rsidR="0063593C">
        <w:t xml:space="preserve"> slots, then 0 for </w:t>
      </w:r>
      <w:r w:rsidR="0063593C" w:rsidRPr="00BB2174">
        <w:rPr>
          <w:i/>
        </w:rPr>
        <w:t>N</w:t>
      </w:r>
      <w:r w:rsidR="0063593C">
        <w:t xml:space="preserve"> slots, and so on. </w:t>
      </w:r>
      <w:r w:rsidR="00393BDE">
        <w:t xml:space="preserve">The PRB allocation for the actually used UL slots would then be based on the </w:t>
      </w:r>
      <w:r w:rsidR="00393BDE">
        <w:lastRenderedPageBreak/>
        <w:t>hopping index</w:t>
      </w:r>
      <w:r w:rsidR="0063593C">
        <w:t xml:space="preserve"> </w:t>
      </w:r>
      <w:r w:rsidR="00BD6663">
        <w:t>value</w:t>
      </w:r>
      <w:r w:rsidR="0063593C">
        <w:t xml:space="preserve"> for</w:t>
      </w:r>
      <w:r w:rsidR="00393BDE">
        <w:t xml:space="preserve"> that slot. </w:t>
      </w:r>
      <w:r w:rsidR="00CF2496" w:rsidRPr="00BB2174">
        <w:fldChar w:fldCharType="begin"/>
      </w:r>
      <w:r w:rsidR="00CF2496" w:rsidRPr="004F7583">
        <w:instrText xml:space="preserve"> REF _Ref83924636 \h </w:instrText>
      </w:r>
      <w:r w:rsidR="00475DC2" w:rsidRPr="004F7583">
        <w:instrText xml:space="preserve"> \* MERGEFORMAT </w:instrText>
      </w:r>
      <w:r w:rsidR="00CF2496" w:rsidRPr="00BB2174">
        <w:fldChar w:fldCharType="separate"/>
      </w:r>
      <w:r w:rsidR="00F843F8" w:rsidRPr="00B51F17">
        <w:t>Figure 1</w:t>
      </w:r>
      <w:r w:rsidR="00CF2496" w:rsidRPr="00BB2174">
        <w:fldChar w:fldCharType="end"/>
      </w:r>
      <w:r w:rsidR="0063593C">
        <w:t xml:space="preserve"> </w:t>
      </w:r>
      <w:r w:rsidR="00393BDE">
        <w:t>illustrate</w:t>
      </w:r>
      <w:r w:rsidR="0063593C">
        <w:t>s</w:t>
      </w:r>
      <w:r w:rsidR="00393BDE">
        <w:t xml:space="preserve"> how </w:t>
      </w:r>
      <w:r w:rsidR="00573F42">
        <w:t>such a pattern with</w:t>
      </w:r>
      <w:r w:rsidR="00141513">
        <w:t xml:space="preserve"> </w:t>
      </w:r>
      <w:r w:rsidR="00141513" w:rsidRPr="00BB2174">
        <w:rPr>
          <w:i/>
        </w:rPr>
        <w:t>N</w:t>
      </w:r>
      <w:r w:rsidR="00141513">
        <w:t xml:space="preserve"> = 5 </w:t>
      </w:r>
      <w:r w:rsidR="0063593C">
        <w:t>make</w:t>
      </w:r>
      <w:r w:rsidR="00475DC2">
        <w:t>s</w:t>
      </w:r>
      <w:r w:rsidR="0063593C">
        <w:t xml:space="preserve"> the back-to-back slots in</w:t>
      </w:r>
      <w:r w:rsidR="00393BDE">
        <w:t xml:space="preserve"> the typical TDD pattern DDDSUDDSUU appear on the same frequency and thus allow</w:t>
      </w:r>
      <w:r w:rsidR="00475DC2">
        <w:t>s</w:t>
      </w:r>
      <w:r w:rsidR="00393BDE">
        <w:t xml:space="preserve"> for JCE as desired.</w:t>
      </w:r>
    </w:p>
    <w:p w14:paraId="1F84435B" w14:textId="6B5BF36F" w:rsidR="00573F42" w:rsidRDefault="00573F42" w:rsidP="00B86658">
      <w:pPr>
        <w:pStyle w:val="BodyText"/>
      </w:pPr>
      <w:r>
        <w:t xml:space="preserve">One may note that this pattern creates some imbalance between </w:t>
      </w:r>
      <w:r w:rsidR="0063593C">
        <w:t>index 0 and index 1</w:t>
      </w:r>
      <w:r>
        <w:t xml:space="preserve">, with all back-to-back slots </w:t>
      </w:r>
      <w:r w:rsidR="0063593C">
        <w:t>having index 1</w:t>
      </w:r>
      <w:r>
        <w:t xml:space="preserve">. However, a </w:t>
      </w:r>
      <w:r w:rsidR="0063593C">
        <w:t xml:space="preserve">more </w:t>
      </w:r>
      <w:r>
        <w:t>balance</w:t>
      </w:r>
      <w:r w:rsidR="0061566D">
        <w:t>d</w:t>
      </w:r>
      <w:r>
        <w:t xml:space="preserve"> pattern </w:t>
      </w:r>
      <w:r w:rsidR="003E2CB9">
        <w:t>can</w:t>
      </w:r>
      <w:r>
        <w:t xml:space="preserve"> easily </w:t>
      </w:r>
      <w:r w:rsidR="003E2CB9">
        <w:t>be</w:t>
      </w:r>
      <w:r>
        <w:t xml:space="preserve"> obtained by using a hopping pattern w</w:t>
      </w:r>
      <w:r w:rsidR="00C154FB">
        <w:t xml:space="preserve">ith </w:t>
      </w:r>
      <w:r w:rsidR="00C154FB" w:rsidRPr="00BB2174">
        <w:rPr>
          <w:i/>
        </w:rPr>
        <w:t>N</w:t>
      </w:r>
      <w:r w:rsidR="00C154FB">
        <w:t xml:space="preserve"> = 10</w:t>
      </w:r>
      <w:r>
        <w:t xml:space="preserve">, with an overall time shift of 5 slots, see </w:t>
      </w:r>
      <w:r w:rsidR="00CF2496">
        <w:fldChar w:fldCharType="begin"/>
      </w:r>
      <w:r w:rsidR="00CF2496">
        <w:instrText xml:space="preserve"> REF _Ref83924640 \h </w:instrText>
      </w:r>
      <w:r w:rsidR="00CF2496">
        <w:fldChar w:fldCharType="separate"/>
      </w:r>
      <w:r w:rsidR="00F843F8" w:rsidRPr="004D5B6C">
        <w:rPr>
          <w:b/>
          <w:bCs/>
        </w:rPr>
        <w:t xml:space="preserve">Figure </w:t>
      </w:r>
      <w:r w:rsidR="00F843F8">
        <w:rPr>
          <w:b/>
          <w:bCs/>
          <w:noProof/>
        </w:rPr>
        <w:t>2</w:t>
      </w:r>
      <w:r w:rsidR="00CF2496">
        <w:fldChar w:fldCharType="end"/>
      </w:r>
      <w:r>
        <w:t xml:space="preserve">. </w:t>
      </w:r>
      <w:r w:rsidR="0088449C">
        <w:t>As discussed further below, this approach can be generalized to support any number of frequency hopping offsets.</w:t>
      </w:r>
    </w:p>
    <w:p w14:paraId="07922B7B" w14:textId="270AEBDA" w:rsidR="00573F42" w:rsidRDefault="00573F42" w:rsidP="00573F42">
      <w:pPr>
        <w:pStyle w:val="BodyText"/>
        <w:keepNext/>
        <w:spacing w:after="0"/>
        <w:rPr>
          <w:rFonts w:cstheme="minorHAnsi"/>
          <w:b/>
          <w:bCs/>
        </w:rPr>
      </w:pPr>
      <w:r>
        <w:rPr>
          <w:rFonts w:cstheme="minorHAnsi"/>
          <w:b/>
          <w:bCs/>
        </w:rPr>
        <w:t xml:space="preserve">Observations </w:t>
      </w:r>
      <w:r w:rsidR="00630097">
        <w:rPr>
          <w:rFonts w:cstheme="minorHAnsi"/>
          <w:b/>
          <w:bCs/>
        </w:rPr>
        <w:t>5 &amp; 6</w:t>
      </w:r>
      <w:r>
        <w:rPr>
          <w:rFonts w:cstheme="minorHAnsi"/>
          <w:b/>
          <w:bCs/>
        </w:rPr>
        <w:t xml:space="preserve">: </w:t>
      </w:r>
    </w:p>
    <w:p w14:paraId="355C445D" w14:textId="0E8AB345" w:rsidR="00573F42" w:rsidRPr="009B1608" w:rsidRDefault="0063593C" w:rsidP="00BB2174">
      <w:pPr>
        <w:pStyle w:val="BodyText"/>
        <w:keepNext/>
        <w:numPr>
          <w:ilvl w:val="0"/>
          <w:numId w:val="73"/>
        </w:numPr>
        <w:spacing w:after="0"/>
        <w:rPr>
          <w:rFonts w:cstheme="minorHAnsi"/>
          <w:bCs/>
        </w:rPr>
      </w:pPr>
      <w:bookmarkStart w:id="7" w:name="_Hlk87019640"/>
      <w:r>
        <w:t xml:space="preserve">Appropriate FH patterns for common TDD patterns </w:t>
      </w:r>
      <w:r w:rsidR="005C2D33">
        <w:t xml:space="preserve">as well as </w:t>
      </w:r>
      <w:r w:rsidR="008B1E72">
        <w:t xml:space="preserve">for </w:t>
      </w:r>
      <w:r w:rsidR="005C2D33">
        <w:t xml:space="preserve">FDD </w:t>
      </w:r>
      <w:r w:rsidR="00573F42" w:rsidRPr="00573F42">
        <w:t xml:space="preserve">can be achieved </w:t>
      </w:r>
      <w:r w:rsidR="00E1147B">
        <w:t>through</w:t>
      </w:r>
      <w:r w:rsidR="00573F42" w:rsidRPr="00573F42">
        <w:t xml:space="preserve"> a simple rule </w:t>
      </w:r>
      <w:r w:rsidR="006916B5">
        <w:t xml:space="preserve">where a </w:t>
      </w:r>
      <w:r w:rsidR="00573F42" w:rsidRPr="00573F42">
        <w:t>hopping index</w:t>
      </w:r>
      <w:r w:rsidR="006916B5">
        <w:t xml:space="preserve"> </w:t>
      </w:r>
      <w:r w:rsidR="0088449C">
        <w:t xml:space="preserve">changes once per </w:t>
      </w:r>
      <w:r w:rsidR="00573F42" w:rsidRPr="00BB2174">
        <w:rPr>
          <w:i/>
        </w:rPr>
        <w:t>N</w:t>
      </w:r>
      <w:r w:rsidR="00573F42" w:rsidRPr="00573F42">
        <w:t xml:space="preserve"> slots, and </w:t>
      </w:r>
      <w:r w:rsidR="006916B5">
        <w:t xml:space="preserve">where the </w:t>
      </w:r>
      <w:r w:rsidR="00573F42" w:rsidRPr="00573F42">
        <w:t>frequency resource</w:t>
      </w:r>
      <w:r w:rsidR="006916B5">
        <w:t xml:space="preserve"> to use for any UL slot is</w:t>
      </w:r>
      <w:r w:rsidR="00573F42" w:rsidRPr="00573F42">
        <w:t xml:space="preserve"> </w:t>
      </w:r>
      <w:r w:rsidR="006916B5">
        <w:t xml:space="preserve">determined </w:t>
      </w:r>
      <w:r w:rsidR="00573F42" w:rsidRPr="00573F42">
        <w:t>based on the hopping index for that slot</w:t>
      </w:r>
      <w:r w:rsidR="00573F42">
        <w:t>.</w:t>
      </w:r>
    </w:p>
    <w:p w14:paraId="2FB7821F" w14:textId="340696E4" w:rsidR="00573F42" w:rsidRPr="00340B8C" w:rsidRDefault="00573F42" w:rsidP="00573F42">
      <w:pPr>
        <w:pStyle w:val="BodyText"/>
        <w:keepNext/>
        <w:numPr>
          <w:ilvl w:val="0"/>
          <w:numId w:val="73"/>
        </w:numPr>
        <w:spacing w:after="0"/>
        <w:rPr>
          <w:rFonts w:cstheme="minorHAnsi"/>
          <w:bCs/>
        </w:rPr>
      </w:pPr>
      <w:r w:rsidRPr="00573F42">
        <w:t>For achieving best balance in all scenarios, the hopping pattern could have a configurable time shift (</w:t>
      </w:r>
      <w:r w:rsidR="006916B5">
        <w:t xml:space="preserve">in </w:t>
      </w:r>
      <w:r w:rsidR="00102501">
        <w:t xml:space="preserve">the </w:t>
      </w:r>
      <w:r w:rsidR="006916B5">
        <w:t xml:space="preserve">unit of </w:t>
      </w:r>
      <w:r w:rsidRPr="00573F42">
        <w:t>slots)</w:t>
      </w:r>
      <w:r>
        <w:t>.</w:t>
      </w:r>
    </w:p>
    <w:bookmarkEnd w:id="7"/>
    <w:p w14:paraId="54295EB3" w14:textId="77777777" w:rsidR="00573F42" w:rsidRDefault="00573F42" w:rsidP="00393BDE">
      <w:pPr>
        <w:pStyle w:val="BodyText"/>
        <w:spacing w:after="0"/>
      </w:pPr>
    </w:p>
    <w:p w14:paraId="5CAE6FC7" w14:textId="2B030ABF" w:rsidR="00B016E9" w:rsidRDefault="00B016E9" w:rsidP="00393BDE">
      <w:pPr>
        <w:pStyle w:val="BodyText"/>
        <w:spacing w:after="0"/>
        <w:rPr>
          <w:noProof/>
        </w:rPr>
      </w:pPr>
    </w:p>
    <w:p w14:paraId="4385A1FB" w14:textId="5014CB26" w:rsidR="00B016E9" w:rsidRDefault="00B016E9" w:rsidP="00393BDE">
      <w:pPr>
        <w:pStyle w:val="BodyText"/>
        <w:spacing w:after="0"/>
        <w:rPr>
          <w:noProof/>
        </w:rPr>
      </w:pPr>
      <w:r>
        <w:rPr>
          <w:noProof/>
        </w:rPr>
        <w:drawing>
          <wp:inline distT="0" distB="0" distL="0" distR="0" wp14:anchorId="43684C47" wp14:editId="3415F3FE">
            <wp:extent cx="6760579" cy="1447397"/>
            <wp:effectExtent l="0" t="0" r="0" b="63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1355" cy="1458268"/>
                    </a:xfrm>
                    <a:prstGeom prst="rect">
                      <a:avLst/>
                    </a:prstGeom>
                    <a:noFill/>
                  </pic:spPr>
                </pic:pic>
              </a:graphicData>
            </a:graphic>
          </wp:inline>
        </w:drawing>
      </w:r>
    </w:p>
    <w:p w14:paraId="25E5DACD" w14:textId="7A0C16A2" w:rsidR="00393BDE" w:rsidRDefault="00393BDE" w:rsidP="00393BDE">
      <w:pPr>
        <w:pStyle w:val="Caption"/>
        <w:rPr>
          <w:b w:val="0"/>
          <w:bCs w:val="0"/>
        </w:rPr>
      </w:pPr>
      <w:bookmarkStart w:id="8" w:name="_Ref83924636"/>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F843F8">
        <w:rPr>
          <w:b w:val="0"/>
          <w:bCs w:val="0"/>
          <w:noProof/>
        </w:rPr>
        <w:t>1</w:t>
      </w:r>
      <w:r w:rsidRPr="004D5B6C">
        <w:rPr>
          <w:b w:val="0"/>
          <w:bCs w:val="0"/>
        </w:rPr>
        <w:fldChar w:fldCharType="end"/>
      </w:r>
      <w:bookmarkEnd w:id="8"/>
      <w:r w:rsidRPr="004D5B6C">
        <w:rPr>
          <w:b w:val="0"/>
          <w:bCs w:val="0"/>
        </w:rPr>
        <w:t xml:space="preserve">. </w:t>
      </w:r>
      <w:r>
        <w:rPr>
          <w:b w:val="0"/>
          <w:bCs w:val="0"/>
        </w:rPr>
        <w:t>Illustration of hopping pattern for TDD pattern DDDSUDDSUU</w:t>
      </w:r>
    </w:p>
    <w:p w14:paraId="3FB482E3" w14:textId="079790E8" w:rsidR="00393BDE" w:rsidRDefault="00393BDE" w:rsidP="00393BDE">
      <w:pPr>
        <w:pStyle w:val="BodyText"/>
        <w:spacing w:after="0"/>
      </w:pPr>
    </w:p>
    <w:p w14:paraId="32C73239" w14:textId="3B05449F" w:rsidR="00393BDE" w:rsidRDefault="008B1F79" w:rsidP="00393BDE">
      <w:pPr>
        <w:pStyle w:val="BodyText"/>
        <w:spacing w:after="0"/>
      </w:pPr>
      <w:r>
        <w:rPr>
          <w:noProof/>
        </w:rPr>
        <w:drawing>
          <wp:inline distT="0" distB="0" distL="0" distR="0" wp14:anchorId="52C0E16D" wp14:editId="6804A176">
            <wp:extent cx="6790075" cy="1443509"/>
            <wp:effectExtent l="0" t="0" r="0" b="444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43893" cy="1454950"/>
                    </a:xfrm>
                    <a:prstGeom prst="rect">
                      <a:avLst/>
                    </a:prstGeom>
                    <a:noFill/>
                  </pic:spPr>
                </pic:pic>
              </a:graphicData>
            </a:graphic>
          </wp:inline>
        </w:drawing>
      </w:r>
    </w:p>
    <w:p w14:paraId="68C7F5CB" w14:textId="3CCD4A60" w:rsidR="00393BDE" w:rsidRDefault="00393BDE" w:rsidP="00393BDE">
      <w:pPr>
        <w:pStyle w:val="Caption"/>
        <w:rPr>
          <w:b w:val="0"/>
          <w:bCs w:val="0"/>
        </w:rPr>
      </w:pPr>
      <w:bookmarkStart w:id="9" w:name="_Ref83924640"/>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F843F8">
        <w:rPr>
          <w:b w:val="0"/>
          <w:bCs w:val="0"/>
          <w:noProof/>
        </w:rPr>
        <w:t>2</w:t>
      </w:r>
      <w:r w:rsidRPr="004D5B6C">
        <w:rPr>
          <w:b w:val="0"/>
          <w:bCs w:val="0"/>
        </w:rPr>
        <w:fldChar w:fldCharType="end"/>
      </w:r>
      <w:bookmarkEnd w:id="9"/>
      <w:r w:rsidRPr="004D5B6C">
        <w:rPr>
          <w:b w:val="0"/>
          <w:bCs w:val="0"/>
        </w:rPr>
        <w:t xml:space="preserve">. </w:t>
      </w:r>
      <w:r>
        <w:rPr>
          <w:b w:val="0"/>
          <w:bCs w:val="0"/>
        </w:rPr>
        <w:t xml:space="preserve">Illustration of </w:t>
      </w:r>
      <w:r w:rsidR="0052078C">
        <w:rPr>
          <w:b w:val="0"/>
          <w:bCs w:val="0"/>
        </w:rPr>
        <w:t>more</w:t>
      </w:r>
      <w:r>
        <w:rPr>
          <w:b w:val="0"/>
          <w:bCs w:val="0"/>
        </w:rPr>
        <w:t xml:space="preserve"> balanced hopping pattern for TDD pattern DDDSUDDSUU</w:t>
      </w:r>
    </w:p>
    <w:p w14:paraId="533C8740" w14:textId="7FFA38D7" w:rsidR="00573F42" w:rsidRDefault="00573F42" w:rsidP="00573F42">
      <w:pPr>
        <w:pStyle w:val="BodyText"/>
        <w:spacing w:after="0"/>
      </w:pPr>
      <w:r>
        <w:t>It may</w:t>
      </w:r>
      <w:r w:rsidR="006916B5">
        <w:t>, however,</w:t>
      </w:r>
      <w:r>
        <w:t xml:space="preserve"> be noted that the balance is still not perfect. </w:t>
      </w:r>
      <w:r w:rsidR="00C154FB">
        <w:t xml:space="preserve">A </w:t>
      </w:r>
      <w:r>
        <w:t>perfect balance</w:t>
      </w:r>
      <w:r w:rsidR="00847F6C">
        <w:t xml:space="preserve"> is </w:t>
      </w:r>
      <w:r w:rsidR="006916B5">
        <w:t xml:space="preserve">even in principle </w:t>
      </w:r>
      <w:r w:rsidR="00847F6C">
        <w:t>not</w:t>
      </w:r>
      <w:r>
        <w:t xml:space="preserve"> possible for 9 </w:t>
      </w:r>
      <w:r w:rsidR="004041B4">
        <w:t xml:space="preserve">transmissions </w:t>
      </w:r>
      <w:r>
        <w:t xml:space="preserve">on two frequencies. However, by using 3 frequencies, perfect balance is achievable also in this case, see </w:t>
      </w:r>
      <w:r w:rsidR="00CF2496">
        <w:fldChar w:fldCharType="begin"/>
      </w:r>
      <w:r w:rsidR="00CF2496">
        <w:instrText xml:space="preserve"> REF _Ref83924641 \h </w:instrText>
      </w:r>
      <w:r w:rsidR="006D6EE6">
        <w:instrText xml:space="preserve"> \* MERGEFORMAT </w:instrText>
      </w:r>
      <w:r w:rsidR="00CF2496">
        <w:fldChar w:fldCharType="separate"/>
      </w:r>
      <w:r w:rsidR="00F843F8" w:rsidRPr="00B51F17">
        <w:t>Figure 3</w:t>
      </w:r>
      <w:r w:rsidR="00CF2496">
        <w:fldChar w:fldCharType="end"/>
      </w:r>
      <w:r>
        <w:t xml:space="preserve">. Note that the described frequency hopping approach naturally </w:t>
      </w:r>
      <w:r w:rsidR="006916B5">
        <w:t>works also</w:t>
      </w:r>
      <w:r>
        <w:t xml:space="preserve"> </w:t>
      </w:r>
      <w:r w:rsidR="006916B5">
        <w:t>for</w:t>
      </w:r>
      <w:r>
        <w:t xml:space="preserve"> 3 hops</w:t>
      </w:r>
      <w:r w:rsidR="006916B5">
        <w:t xml:space="preserve">, if </w:t>
      </w:r>
      <w:r w:rsidR="00652EFF">
        <w:t xml:space="preserve">just </w:t>
      </w:r>
      <w:r w:rsidR="00077E51">
        <w:t>the hopping index</w:t>
      </w:r>
      <w:r w:rsidR="006916B5">
        <w:t xml:space="preserve"> instead of altern</w:t>
      </w:r>
      <w:r w:rsidR="00C154FB">
        <w:t>a</w:t>
      </w:r>
      <w:r w:rsidR="006916B5">
        <w:t xml:space="preserve">ting between 0 and 1 iterates between 0, 1, and 2 (again with an update every </w:t>
      </w:r>
      <w:r w:rsidR="006916B5" w:rsidRPr="00BB2174">
        <w:rPr>
          <w:i/>
        </w:rPr>
        <w:t>N</w:t>
      </w:r>
      <w:r w:rsidR="006916B5">
        <w:t xml:space="preserve"> slots, </w:t>
      </w:r>
      <w:r w:rsidR="00C154FB">
        <w:t xml:space="preserve">with </w:t>
      </w:r>
      <w:r w:rsidR="00C154FB" w:rsidRPr="00BB2174">
        <w:rPr>
          <w:i/>
        </w:rPr>
        <w:t>N</w:t>
      </w:r>
      <w:r w:rsidR="00C154FB">
        <w:t xml:space="preserve"> = 5 in t</w:t>
      </w:r>
      <w:r w:rsidR="006916B5">
        <w:t>he example in the figure).</w:t>
      </w:r>
      <w:r>
        <w:t xml:space="preserve"> The hopping approach can </w:t>
      </w:r>
      <w:r w:rsidR="00C154FB">
        <w:t>be analogously</w:t>
      </w:r>
      <w:r>
        <w:t xml:space="preserve"> extended to any number of hops.</w:t>
      </w:r>
    </w:p>
    <w:p w14:paraId="219CEEE9" w14:textId="77777777" w:rsidR="00573F42" w:rsidRDefault="00573F42" w:rsidP="00573F42">
      <w:pPr>
        <w:pStyle w:val="BodyText"/>
        <w:spacing w:after="0"/>
      </w:pPr>
    </w:p>
    <w:p w14:paraId="1C862355" w14:textId="3D63970D" w:rsidR="00573F42" w:rsidRDefault="00573F42" w:rsidP="00573F42">
      <w:pPr>
        <w:pStyle w:val="BodyText"/>
        <w:spacing w:after="0"/>
      </w:pPr>
      <w:r>
        <w:lastRenderedPageBreak/>
        <w:t xml:space="preserve">Furthermore, as shown in Section </w:t>
      </w:r>
      <w:r>
        <w:fldChar w:fldCharType="begin"/>
      </w:r>
      <w:r>
        <w:instrText xml:space="preserve"> REF _Ref68169350 \r \h </w:instrText>
      </w:r>
      <w:r>
        <w:fldChar w:fldCharType="separate"/>
      </w:r>
      <w:r w:rsidR="00F843F8">
        <w:t>2.4</w:t>
      </w:r>
      <w:r>
        <w:fldChar w:fldCharType="end"/>
      </w:r>
      <w:r>
        <w:t xml:space="preserve">, increasing the number of hops not only improves the balance, but also gives </w:t>
      </w:r>
      <w:r w:rsidR="00E32372">
        <w:t>significant</w:t>
      </w:r>
      <w:r>
        <w:t xml:space="preserve"> </w:t>
      </w:r>
      <w:r w:rsidR="00CF2496">
        <w:t xml:space="preserve">performance gains </w:t>
      </w:r>
      <w:bookmarkStart w:id="10" w:name="_Hlk92439761"/>
      <w:r w:rsidR="00152964">
        <w:t>(</w:t>
      </w:r>
      <w:r w:rsidR="00152964" w:rsidRPr="00E74F72">
        <w:rPr>
          <w:rFonts w:ascii="Arial" w:hAnsi="Arial" w:cs="Arial"/>
        </w:rPr>
        <w:t>~</w:t>
      </w:r>
      <w:r w:rsidR="00152964" w:rsidRPr="00152964">
        <w:t xml:space="preserve">0.5dB gain @ 10% BLER and </w:t>
      </w:r>
      <w:r w:rsidR="00152964" w:rsidRPr="00BB2174">
        <w:rPr>
          <w:rFonts w:ascii="Arial" w:hAnsi="Arial" w:cs="Arial"/>
        </w:rPr>
        <w:t>~</w:t>
      </w:r>
      <w:r w:rsidR="00152964" w:rsidRPr="00152964">
        <w:t>1.5 dB gain @</w:t>
      </w:r>
      <w:r w:rsidR="00152964">
        <w:t xml:space="preserve"> </w:t>
      </w:r>
      <w:r w:rsidR="00152964" w:rsidRPr="00152964">
        <w:t>1% BLER</w:t>
      </w:r>
      <w:r w:rsidR="00152964">
        <w:t>)</w:t>
      </w:r>
      <w:r w:rsidR="00CF2496">
        <w:t xml:space="preserve"> </w:t>
      </w:r>
      <w:bookmarkEnd w:id="10"/>
      <w:r w:rsidR="00CF2496">
        <w:t xml:space="preserve">thanks to increased </w:t>
      </w:r>
      <w:r w:rsidR="003E2CB9">
        <w:t xml:space="preserve">frequency </w:t>
      </w:r>
      <w:r>
        <w:t xml:space="preserve">diversity. </w:t>
      </w:r>
    </w:p>
    <w:p w14:paraId="610640AE" w14:textId="77777777" w:rsidR="00573F42" w:rsidRDefault="00573F42" w:rsidP="00573F42">
      <w:pPr>
        <w:pStyle w:val="BodyText"/>
        <w:spacing w:after="0"/>
      </w:pPr>
    </w:p>
    <w:p w14:paraId="47EC3405" w14:textId="0E146149" w:rsidR="00573F42" w:rsidRPr="00BB2174" w:rsidRDefault="00573F42" w:rsidP="00573F42">
      <w:pPr>
        <w:pStyle w:val="BodyText"/>
        <w:spacing w:after="0"/>
        <w:rPr>
          <w:b/>
        </w:rPr>
      </w:pPr>
      <w:r w:rsidRPr="00BB2174">
        <w:rPr>
          <w:b/>
        </w:rPr>
        <w:t>Observations</w:t>
      </w:r>
      <w:r>
        <w:rPr>
          <w:b/>
        </w:rPr>
        <w:t xml:space="preserve"> </w:t>
      </w:r>
      <w:r w:rsidR="00630097">
        <w:rPr>
          <w:b/>
          <w:bCs/>
        </w:rPr>
        <w:t>7-9</w:t>
      </w:r>
      <w:r w:rsidRPr="00BB2174">
        <w:rPr>
          <w:b/>
        </w:rPr>
        <w:t>:</w:t>
      </w:r>
    </w:p>
    <w:p w14:paraId="4B94715E" w14:textId="5EB5E4D7" w:rsidR="00573F42" w:rsidRDefault="00573F42" w:rsidP="00BB2174">
      <w:pPr>
        <w:pStyle w:val="BodyText"/>
        <w:numPr>
          <w:ilvl w:val="0"/>
          <w:numId w:val="92"/>
        </w:numPr>
        <w:spacing w:after="0"/>
      </w:pPr>
      <w:r>
        <w:t>By increasing the number of hop frequencies</w:t>
      </w:r>
      <w:r w:rsidR="000E71BC">
        <w:t xml:space="preserve">, </w:t>
      </w:r>
      <w:r>
        <w:t>better balance in the frequency hopping patterns can be achieve</w:t>
      </w:r>
      <w:r w:rsidR="008059F9">
        <w:t>d</w:t>
      </w:r>
      <w:r w:rsidR="000E71BC">
        <w:t xml:space="preserve"> in some scenarios</w:t>
      </w:r>
    </w:p>
    <w:p w14:paraId="18CDFCEA" w14:textId="3EE4EF9B" w:rsidR="00573F42" w:rsidRDefault="00573F42" w:rsidP="00BB2174">
      <w:pPr>
        <w:pStyle w:val="BodyText"/>
        <w:numPr>
          <w:ilvl w:val="0"/>
          <w:numId w:val="92"/>
        </w:numPr>
        <w:spacing w:after="0"/>
      </w:pPr>
      <w:r>
        <w:t>The proposed hopping rule is straightforwardly exten</w:t>
      </w:r>
      <w:r w:rsidR="00F843F8">
        <w:t>s</w:t>
      </w:r>
      <w:r>
        <w:t xml:space="preserve">ible to </w:t>
      </w:r>
      <w:r w:rsidR="00040DED">
        <w:t xml:space="preserve">an </w:t>
      </w:r>
      <w:r>
        <w:t>arbitrary number of hops</w:t>
      </w:r>
      <w:r w:rsidR="00040DED">
        <w:t xml:space="preserve"> by allowing the frequency hopping index to attain more than two values</w:t>
      </w:r>
    </w:p>
    <w:p w14:paraId="316C67B6" w14:textId="77777777" w:rsidR="00573F42" w:rsidRDefault="00573F42" w:rsidP="00B86658">
      <w:pPr>
        <w:pStyle w:val="BodyText"/>
        <w:numPr>
          <w:ilvl w:val="0"/>
          <w:numId w:val="92"/>
        </w:numPr>
      </w:pPr>
      <w:r>
        <w:t>Going from 2 hops to 3 hops also gives a notable diversity gain, improving coverage further</w:t>
      </w:r>
    </w:p>
    <w:p w14:paraId="2450BF57" w14:textId="6F280E16" w:rsidR="00873A45" w:rsidRDefault="00873A45" w:rsidP="00B86658">
      <w:pPr>
        <w:pStyle w:val="BodyText"/>
      </w:pPr>
      <w:r>
        <w:t>As discussed above, it should be possible to configure the new FH patterns not only for</w:t>
      </w:r>
      <w:r w:rsidR="00333185">
        <w:t xml:space="preserve"> UEs using</w:t>
      </w:r>
      <w:r>
        <w:t xml:space="preserve"> JCE, but also for </w:t>
      </w:r>
      <w:r w:rsidR="00333185">
        <w:t>any other UEs in the network. The</w:t>
      </w:r>
      <w:r>
        <w:t xml:space="preserve"> proposed new </w:t>
      </w:r>
      <w:r w:rsidR="00991488">
        <w:t>rule</w:t>
      </w:r>
      <w:r w:rsidR="00B051DE">
        <w:t xml:space="preserve"> </w:t>
      </w:r>
      <w:r w:rsidR="00991488">
        <w:t>for</w:t>
      </w:r>
      <w:r w:rsidR="00B051DE">
        <w:t xml:space="preserve"> </w:t>
      </w:r>
      <w:r>
        <w:t>FH pattern</w:t>
      </w:r>
      <w:r w:rsidR="00B051DE">
        <w:t xml:space="preserve"> generation</w:t>
      </w:r>
      <w:r>
        <w:t xml:space="preserve"> </w:t>
      </w:r>
      <w:r w:rsidR="00B051DE">
        <w:t>is</w:t>
      </w:r>
      <w:r>
        <w:t xml:space="preserve"> simple </w:t>
      </w:r>
      <w:r w:rsidR="00333185">
        <w:t>but</w:t>
      </w:r>
      <w:r>
        <w:t xml:space="preserve"> still </w:t>
      </w:r>
      <w:r w:rsidR="000C5BFE">
        <w:t>seem</w:t>
      </w:r>
      <w:r w:rsidR="00B051DE">
        <w:t>s</w:t>
      </w:r>
      <w:r w:rsidR="000C5BFE">
        <w:t xml:space="preserve"> to be able to </w:t>
      </w:r>
      <w:r>
        <w:t xml:space="preserve">work well in a wide range of </w:t>
      </w:r>
      <w:r w:rsidR="00E6737C">
        <w:t>cases</w:t>
      </w:r>
      <w:r>
        <w:t>.</w:t>
      </w:r>
    </w:p>
    <w:p w14:paraId="3670FDE3" w14:textId="56AC6C63" w:rsidR="00393BDE" w:rsidRDefault="00393BDE" w:rsidP="00393BDE">
      <w:pPr>
        <w:pStyle w:val="BodyText"/>
        <w:spacing w:after="0"/>
      </w:pPr>
    </w:p>
    <w:p w14:paraId="2FC6ECDB" w14:textId="15FDEE78" w:rsidR="00573F42" w:rsidRDefault="008B1F79" w:rsidP="00393BDE">
      <w:pPr>
        <w:pStyle w:val="BodyText"/>
        <w:spacing w:after="0"/>
      </w:pPr>
      <w:r>
        <w:rPr>
          <w:noProof/>
        </w:rPr>
        <w:drawing>
          <wp:inline distT="0" distB="0" distL="0" distR="0" wp14:anchorId="24E76C02" wp14:editId="3A181B2A">
            <wp:extent cx="6790075" cy="1691075"/>
            <wp:effectExtent l="0" t="0" r="0" b="444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4012" cy="1694546"/>
                    </a:xfrm>
                    <a:prstGeom prst="rect">
                      <a:avLst/>
                    </a:prstGeom>
                    <a:noFill/>
                  </pic:spPr>
                </pic:pic>
              </a:graphicData>
            </a:graphic>
          </wp:inline>
        </w:drawing>
      </w:r>
    </w:p>
    <w:p w14:paraId="5E3F2989" w14:textId="6FC8EF16" w:rsidR="00573F42" w:rsidRDefault="00573F42" w:rsidP="00573F42">
      <w:pPr>
        <w:pStyle w:val="Caption"/>
        <w:rPr>
          <w:b w:val="0"/>
          <w:bCs w:val="0"/>
        </w:rPr>
      </w:pPr>
      <w:bookmarkStart w:id="11" w:name="_Ref8392464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F843F8">
        <w:rPr>
          <w:b w:val="0"/>
          <w:bCs w:val="0"/>
          <w:noProof/>
        </w:rPr>
        <w:t>3</w:t>
      </w:r>
      <w:r w:rsidRPr="004D5B6C">
        <w:rPr>
          <w:b w:val="0"/>
          <w:bCs w:val="0"/>
        </w:rPr>
        <w:fldChar w:fldCharType="end"/>
      </w:r>
      <w:bookmarkEnd w:id="11"/>
      <w:r w:rsidRPr="004D5B6C">
        <w:rPr>
          <w:b w:val="0"/>
          <w:bCs w:val="0"/>
        </w:rPr>
        <w:t xml:space="preserve">. </w:t>
      </w:r>
      <w:r>
        <w:rPr>
          <w:b w:val="0"/>
          <w:bCs w:val="0"/>
        </w:rPr>
        <w:t>Illustration of hopping pattern over 3 frequencies, for TDD pattern DDDSUDDSUU</w:t>
      </w:r>
    </w:p>
    <w:p w14:paraId="614EA6BA" w14:textId="49BAF01F" w:rsidR="002031C9" w:rsidRPr="00B86658" w:rsidRDefault="002031C9" w:rsidP="00B4756D">
      <w:pPr>
        <w:pStyle w:val="BodyText"/>
        <w:keepNext/>
        <w:spacing w:after="0"/>
        <w:rPr>
          <w:bCs/>
        </w:rPr>
      </w:pPr>
      <w:r w:rsidRPr="00B86658">
        <w:rPr>
          <w:bCs/>
        </w:rPr>
        <w:t xml:space="preserve">As will be discussed below, and also </w:t>
      </w:r>
      <w:r>
        <w:rPr>
          <w:bCs/>
        </w:rPr>
        <w:t xml:space="preserve">is shown </w:t>
      </w:r>
      <w:r w:rsidRPr="00B86658">
        <w:rPr>
          <w:bCs/>
        </w:rPr>
        <w:t xml:space="preserve">for TBoMS and PUCCH in </w:t>
      </w:r>
      <w:r w:rsidRPr="00B86658">
        <w:rPr>
          <w:bCs/>
        </w:rPr>
        <w:fldChar w:fldCharType="begin"/>
      </w:r>
      <w:r w:rsidRPr="00B86658">
        <w:rPr>
          <w:bCs/>
        </w:rPr>
        <w:instrText xml:space="preserve"> REF _Ref83911612 \r \h </w:instrText>
      </w:r>
      <w:r>
        <w:rPr>
          <w:bCs/>
        </w:rPr>
        <w:instrText xml:space="preserve"> \* MERGEFORMAT </w:instrText>
      </w:r>
      <w:r w:rsidRPr="00B86658">
        <w:rPr>
          <w:bCs/>
        </w:rPr>
      </w:r>
      <w:r w:rsidRPr="00B86658">
        <w:rPr>
          <w:bCs/>
        </w:rPr>
        <w:fldChar w:fldCharType="separate"/>
      </w:r>
      <w:r w:rsidR="00F843F8">
        <w:rPr>
          <w:bCs/>
        </w:rPr>
        <w:t>[1]</w:t>
      </w:r>
      <w:r w:rsidRPr="00B86658">
        <w:rPr>
          <w:bCs/>
        </w:rPr>
        <w:fldChar w:fldCharType="end"/>
      </w:r>
      <w:r>
        <w:rPr>
          <w:bCs/>
        </w:rPr>
        <w:t xml:space="preserve">and </w:t>
      </w:r>
      <w:r w:rsidRPr="00B86658">
        <w:rPr>
          <w:bCs/>
        </w:rPr>
        <w:fldChar w:fldCharType="begin"/>
      </w:r>
      <w:r w:rsidRPr="00B86658">
        <w:rPr>
          <w:bCs/>
        </w:rPr>
        <w:instrText xml:space="preserve"> REF _Ref87050047 \r \h </w:instrText>
      </w:r>
      <w:r>
        <w:rPr>
          <w:bCs/>
        </w:rPr>
        <w:instrText xml:space="preserve"> \* MERGEFORMAT </w:instrText>
      </w:r>
      <w:r w:rsidRPr="00B86658">
        <w:rPr>
          <w:bCs/>
        </w:rPr>
      </w:r>
      <w:r w:rsidRPr="00B86658">
        <w:rPr>
          <w:bCs/>
        </w:rPr>
        <w:fldChar w:fldCharType="separate"/>
      </w:r>
      <w:r w:rsidR="00F843F8">
        <w:rPr>
          <w:bCs/>
        </w:rPr>
        <w:t>[2]</w:t>
      </w:r>
      <w:r w:rsidRPr="00B86658">
        <w:rPr>
          <w:bCs/>
        </w:rPr>
        <w:fldChar w:fldCharType="end"/>
      </w:r>
      <w:r>
        <w:rPr>
          <w:bCs/>
        </w:rPr>
        <w:t xml:space="preserve">, there are substantive gains by increasing the number of frequency </w:t>
      </w:r>
      <w:r w:rsidR="00804DF7">
        <w:rPr>
          <w:bCs/>
        </w:rPr>
        <w:t xml:space="preserve">hopping offsets </w:t>
      </w:r>
      <w:r>
        <w:rPr>
          <w:bCs/>
        </w:rPr>
        <w:t xml:space="preserve">to 3 and 4 from the </w:t>
      </w:r>
      <w:r w:rsidR="00804DF7">
        <w:rPr>
          <w:bCs/>
        </w:rPr>
        <w:t>2</w:t>
      </w:r>
      <w:r>
        <w:rPr>
          <w:bCs/>
        </w:rPr>
        <w:t xml:space="preserve"> that are supported in Rel-15.  Furthermore, such gains can be obtained for a variety of TDD patterns and while fully enabling joint channel estimation.  We therefore propose:</w:t>
      </w:r>
    </w:p>
    <w:p w14:paraId="6B98A277" w14:textId="77777777" w:rsidR="002031C9" w:rsidRDefault="002031C9" w:rsidP="00B4756D">
      <w:pPr>
        <w:pStyle w:val="BodyText"/>
        <w:keepNext/>
        <w:spacing w:after="0"/>
        <w:rPr>
          <w:b/>
        </w:rPr>
      </w:pPr>
    </w:p>
    <w:p w14:paraId="315D953D" w14:textId="1C3D0B6C" w:rsidR="00B4756D" w:rsidRPr="00A83CD3" w:rsidRDefault="00B4756D" w:rsidP="00B4756D">
      <w:pPr>
        <w:pStyle w:val="BodyText"/>
        <w:keepNext/>
        <w:spacing w:after="0"/>
        <w:rPr>
          <w:b/>
        </w:rPr>
      </w:pPr>
      <w:r w:rsidRPr="00A83CD3">
        <w:rPr>
          <w:b/>
        </w:rPr>
        <w:t xml:space="preserve">Proposal </w:t>
      </w:r>
      <w:r w:rsidR="005C5299">
        <w:rPr>
          <w:b/>
          <w:bCs/>
        </w:rPr>
        <w:t>3</w:t>
      </w:r>
      <w:r w:rsidRPr="00A83CD3">
        <w:rPr>
          <w:b/>
        </w:rPr>
        <w:t>:</w:t>
      </w:r>
    </w:p>
    <w:p w14:paraId="080FE657" w14:textId="2B17BB80" w:rsidR="002031C9" w:rsidRPr="00A83CD3" w:rsidRDefault="002031C9" w:rsidP="00B86658">
      <w:pPr>
        <w:pStyle w:val="BodyText"/>
        <w:numPr>
          <w:ilvl w:val="0"/>
          <w:numId w:val="125"/>
        </w:numPr>
        <w:spacing w:after="0"/>
        <w:rPr>
          <w:lang w:val="en-GB"/>
        </w:rPr>
      </w:pPr>
      <w:r w:rsidRPr="00A83CD3">
        <w:rPr>
          <w:lang w:val="en-GB"/>
        </w:rPr>
        <w:t>Support increased numbers (e.g. up to 4) of frequency hopping offsets, where the number of consecutive slots per hop can be controlled.</w:t>
      </w:r>
    </w:p>
    <w:p w14:paraId="05D31129" w14:textId="77777777" w:rsidR="00393BDE" w:rsidRDefault="00393BDE" w:rsidP="00393BDE">
      <w:pPr>
        <w:pStyle w:val="BodyText"/>
        <w:spacing w:after="0"/>
      </w:pPr>
    </w:p>
    <w:p w14:paraId="57B83C87" w14:textId="6CEC01DA" w:rsidR="00874425" w:rsidRDefault="00874425" w:rsidP="00874425">
      <w:pPr>
        <w:pStyle w:val="Heading2"/>
      </w:pPr>
      <w:bookmarkStart w:id="12" w:name="_Ref86840165"/>
      <w:r>
        <w:t>Definition of Events</w:t>
      </w:r>
    </w:p>
    <w:p w14:paraId="2C2BF513" w14:textId="0BE14788" w:rsidR="00157596" w:rsidRDefault="00157596" w:rsidP="00192E9B">
      <w:pPr>
        <w:pStyle w:val="Heading3"/>
      </w:pPr>
      <w:r>
        <w:t>Semi-static vs. Dynamic</w:t>
      </w:r>
    </w:p>
    <w:p w14:paraId="7B548B58" w14:textId="417595F1" w:rsidR="00A4315E" w:rsidRDefault="00A4315E" w:rsidP="00A4315E">
      <w:pPr>
        <w:rPr>
          <w:lang w:val="en-GB"/>
        </w:rPr>
      </w:pPr>
      <w:r>
        <w:rPr>
          <w:lang w:val="en-GB"/>
        </w:rPr>
        <w:t>In RAN1#107bis, a potential problem was identified with respect to the interaction of semi-static and dynamic events.  This led to the following proposal, which remains an open issue in this meeting.</w:t>
      </w:r>
    </w:p>
    <w:p w14:paraId="75729817" w14:textId="77777777" w:rsidR="00A4315E" w:rsidRPr="00157596" w:rsidRDefault="00A4315E" w:rsidP="00A4315E">
      <w:pPr>
        <w:widowControl w:val="0"/>
        <w:spacing w:after="0"/>
        <w:ind w:left="567"/>
        <w:rPr>
          <w:rFonts w:ascii="Times New Roman" w:eastAsia="SimSun" w:hAnsi="Times New Roman" w:cs="Times New Roman"/>
          <w:b/>
          <w:kern w:val="2"/>
          <w:sz w:val="21"/>
          <w:szCs w:val="21"/>
        </w:rPr>
      </w:pPr>
      <w:bookmarkStart w:id="13" w:name="OLE_LINK30"/>
      <w:r w:rsidRPr="00157596">
        <w:rPr>
          <w:rFonts w:ascii="Times New Roman" w:eastAsia="SimSun" w:hAnsi="Times New Roman" w:cs="Times New Roman"/>
          <w:b/>
          <w:kern w:val="2"/>
          <w:sz w:val="21"/>
          <w:szCs w:val="21"/>
          <w:highlight w:val="yellow"/>
        </w:rPr>
        <w:t>Proposal 3-v4:</w:t>
      </w:r>
    </w:p>
    <w:p w14:paraId="4841A490" w14:textId="77777777" w:rsidR="00A4315E" w:rsidRPr="00157596" w:rsidRDefault="00A4315E" w:rsidP="00A4315E">
      <w:pPr>
        <w:widowControl w:val="0"/>
        <w:spacing w:after="0"/>
        <w:ind w:left="567"/>
        <w:rPr>
          <w:rFonts w:ascii="Times New Roman" w:eastAsia="SimSun" w:hAnsi="Times New Roman" w:cs="Times New Roman"/>
          <w:b/>
          <w:color w:val="FF0000"/>
          <w:kern w:val="2"/>
          <w:sz w:val="21"/>
          <w:szCs w:val="21"/>
        </w:rPr>
      </w:pPr>
      <w:r w:rsidRPr="00157596">
        <w:rPr>
          <w:rFonts w:ascii="Times New Roman" w:eastAsia="MS Mincho" w:hAnsi="Times New Roman" w:cs="Times New Roman"/>
          <w:bCs/>
          <w:color w:val="FF0000"/>
          <w:kern w:val="2"/>
          <w:sz w:val="21"/>
          <w:szCs w:val="21"/>
          <w:lang w:val="en-GB" w:eastAsia="ja-JP"/>
        </w:rPr>
        <w:t>For UE not capable of restarting DM-RS bundling,</w:t>
      </w:r>
    </w:p>
    <w:p w14:paraId="19530C0B" w14:textId="77777777" w:rsidR="00A4315E" w:rsidRPr="00157596" w:rsidRDefault="00A4315E" w:rsidP="00A4315E">
      <w:pPr>
        <w:widowControl w:val="0"/>
        <w:numPr>
          <w:ilvl w:val="0"/>
          <w:numId w:val="138"/>
        </w:numPr>
        <w:autoSpaceDE w:val="0"/>
        <w:autoSpaceDN w:val="0"/>
        <w:adjustRightInd w:val="0"/>
        <w:snapToGrid w:val="0"/>
        <w:spacing w:after="0"/>
        <w:ind w:left="987"/>
        <w:rPr>
          <w:rFonts w:ascii="Times New Roman" w:eastAsia="SimSun" w:hAnsi="Times New Roman" w:cs="Times New Roman"/>
          <w:b/>
          <w:sz w:val="21"/>
          <w:szCs w:val="21"/>
        </w:rPr>
      </w:pPr>
      <w:r w:rsidRPr="00157596">
        <w:rPr>
          <w:rFonts w:ascii="Times New Roman" w:eastAsia="SimSun" w:hAnsi="Times New Roman" w:cs="Times New Roman"/>
          <w:sz w:val="21"/>
          <w:szCs w:val="21"/>
        </w:rPr>
        <w:t xml:space="preserve">If a semi-static event is triggered after one or multiple dynamic events, a new actual TDW is </w:t>
      </w:r>
      <w:r w:rsidRPr="00157596">
        <w:rPr>
          <w:rFonts w:ascii="Times New Roman" w:eastAsia="SimSun" w:hAnsi="Times New Roman" w:cs="Times New Roman"/>
          <w:sz w:val="21"/>
          <w:szCs w:val="21"/>
        </w:rPr>
        <w:lastRenderedPageBreak/>
        <w:t>created after the semi-static event.</w:t>
      </w:r>
    </w:p>
    <w:p w14:paraId="2201D2C5" w14:textId="77777777" w:rsidR="00A4315E" w:rsidRPr="00157596" w:rsidRDefault="00A4315E" w:rsidP="00A4315E">
      <w:pPr>
        <w:widowControl w:val="0"/>
        <w:numPr>
          <w:ilvl w:val="0"/>
          <w:numId w:val="138"/>
        </w:numPr>
        <w:autoSpaceDE w:val="0"/>
        <w:autoSpaceDN w:val="0"/>
        <w:adjustRightInd w:val="0"/>
        <w:snapToGrid w:val="0"/>
        <w:spacing w:after="0"/>
        <w:ind w:left="987"/>
        <w:rPr>
          <w:rFonts w:ascii="Times New Roman" w:eastAsia="SimSun" w:hAnsi="Times New Roman" w:cs="Times New Roman"/>
          <w:sz w:val="21"/>
          <w:szCs w:val="21"/>
        </w:rPr>
      </w:pPr>
      <w:r w:rsidRPr="00157596">
        <w:rPr>
          <w:rFonts w:ascii="Times New Roman" w:eastAsia="SimSun" w:hAnsi="Times New Roman" w:cs="Times New Roman"/>
          <w:sz w:val="21"/>
          <w:szCs w:val="21"/>
        </w:rPr>
        <w:t>If a semi-static event overlaps with a dynamic event, a new actual TDW is created after the semi-static event.</w:t>
      </w:r>
    </w:p>
    <w:p w14:paraId="3AFFA210" w14:textId="6A06A9D7" w:rsidR="00A4315E" w:rsidRDefault="00A4315E" w:rsidP="00A4315E">
      <w:pPr>
        <w:widowControl w:val="0"/>
        <w:numPr>
          <w:ilvl w:val="0"/>
          <w:numId w:val="138"/>
        </w:numPr>
        <w:autoSpaceDE w:val="0"/>
        <w:autoSpaceDN w:val="0"/>
        <w:adjustRightInd w:val="0"/>
        <w:snapToGrid w:val="0"/>
        <w:ind w:left="980" w:hanging="418"/>
        <w:rPr>
          <w:rFonts w:ascii="Times New Roman" w:eastAsia="SimSun" w:hAnsi="Times New Roman" w:cs="Times New Roman"/>
          <w:color w:val="FF0000"/>
          <w:sz w:val="21"/>
          <w:szCs w:val="21"/>
        </w:rPr>
      </w:pPr>
      <w:r w:rsidRPr="00157596">
        <w:rPr>
          <w:rFonts w:ascii="Times New Roman" w:eastAsia="SimSun" w:hAnsi="Times New Roman" w:cs="Times New Roman"/>
          <w:color w:val="FF0000"/>
          <w:sz w:val="21"/>
          <w:szCs w:val="21"/>
        </w:rPr>
        <w:t>Note: No specification impact is expected.</w:t>
      </w:r>
    </w:p>
    <w:bookmarkEnd w:id="13"/>
    <w:p w14:paraId="1CAE9CC9" w14:textId="7B9F7377" w:rsidR="00A4315E" w:rsidRPr="00157596" w:rsidRDefault="00A4315E" w:rsidP="00F71037">
      <w:r>
        <w:t>The following agreements were identified as relevant:</w:t>
      </w:r>
    </w:p>
    <w:p w14:paraId="74BD5A45" w14:textId="77777777" w:rsidR="00192E9B" w:rsidRPr="00192E9B" w:rsidRDefault="00192E9B" w:rsidP="00F71037">
      <w:pPr>
        <w:widowControl w:val="0"/>
        <w:spacing w:after="0"/>
        <w:ind w:left="420"/>
        <w:rPr>
          <w:rFonts w:ascii="Times New Roman" w:eastAsia="Batang" w:hAnsi="Times New Roman" w:cs="Times New Roman"/>
          <w:b/>
          <w:sz w:val="21"/>
          <w:szCs w:val="21"/>
          <w:highlight w:val="green"/>
          <w:lang w:val="en-GB"/>
        </w:rPr>
      </w:pPr>
      <w:r w:rsidRPr="00192E9B">
        <w:rPr>
          <w:rFonts w:ascii="Times New Roman" w:eastAsia="Batang" w:hAnsi="Times New Roman" w:cs="Times New Roman"/>
          <w:b/>
          <w:sz w:val="21"/>
          <w:szCs w:val="21"/>
          <w:highlight w:val="green"/>
          <w:lang w:val="en-GB"/>
        </w:rPr>
        <w:t>Agreement:</w:t>
      </w:r>
    </w:p>
    <w:p w14:paraId="1F3D017A" w14:textId="77777777" w:rsidR="00192E9B" w:rsidRPr="00192E9B" w:rsidRDefault="00192E9B" w:rsidP="00F71037">
      <w:pPr>
        <w:widowControl w:val="0"/>
        <w:numPr>
          <w:ilvl w:val="0"/>
          <w:numId w:val="126"/>
        </w:numPr>
        <w:autoSpaceDE w:val="0"/>
        <w:autoSpaceDN w:val="0"/>
        <w:adjustRightInd w:val="0"/>
        <w:snapToGrid w:val="0"/>
        <w:spacing w:after="0"/>
        <w:ind w:left="840"/>
        <w:rPr>
          <w:rFonts w:ascii="Times New Roman" w:eastAsia="SimSun" w:hAnsi="Times New Roman" w:cs="Times New Roman"/>
          <w:bCs/>
          <w:sz w:val="21"/>
          <w:szCs w:val="21"/>
          <w:lang w:val="en-GB"/>
        </w:rPr>
      </w:pPr>
      <w:r w:rsidRPr="00192E9B">
        <w:rPr>
          <w:rFonts w:ascii="Times New Roman" w:eastAsia="SimSun" w:hAnsi="Times New Roman" w:cs="Times New Roman"/>
          <w:bCs/>
          <w:sz w:val="21"/>
          <w:szCs w:val="21"/>
          <w:lang w:val="en-GB"/>
        </w:rPr>
        <w:t>If DM-RS bundling is supported, UE is mandatory to support restarting DM-RS bundling due to semi-static events. UE capability of restarting DMRS bundling is applied only to dynamic events.</w:t>
      </w:r>
    </w:p>
    <w:p w14:paraId="026E7B44" w14:textId="77777777" w:rsidR="00192E9B" w:rsidRPr="00192E9B" w:rsidRDefault="00192E9B" w:rsidP="00F71037">
      <w:pPr>
        <w:widowControl w:val="0"/>
        <w:numPr>
          <w:ilvl w:val="1"/>
          <w:numId w:val="127"/>
        </w:numPr>
        <w:autoSpaceDE w:val="0"/>
        <w:autoSpaceDN w:val="0"/>
        <w:adjustRightInd w:val="0"/>
        <w:snapToGrid w:val="0"/>
        <w:spacing w:after="0"/>
        <w:ind w:left="1260"/>
        <w:rPr>
          <w:rFonts w:ascii="Times New Roman" w:eastAsia="SimSun" w:hAnsi="Times New Roman" w:cs="Times New Roman"/>
          <w:color w:val="000000"/>
          <w:sz w:val="21"/>
          <w:szCs w:val="21"/>
        </w:rPr>
      </w:pPr>
      <w:r w:rsidRPr="00192E9B">
        <w:rPr>
          <w:rFonts w:ascii="Times New Roman" w:eastAsia="SimSun" w:hAnsi="Times New Roman" w:cs="Times New Roman"/>
          <w:color w:val="000000"/>
          <w:sz w:val="21"/>
          <w:szCs w:val="21"/>
        </w:rPr>
        <w:t>A</w:t>
      </w:r>
      <w:r w:rsidRPr="00192E9B">
        <w:rPr>
          <w:rFonts w:ascii="Times New Roman" w:eastAsia="SimSun" w:hAnsi="Times New Roman" w:cs="Times New Roman"/>
          <w:bCs/>
          <w:color w:val="000000"/>
          <w:sz w:val="21"/>
          <w:szCs w:val="21"/>
        </w:rPr>
        <w:t>n event is regarded as a dynamic event if it is triggered by a DCI or MAC-CE, otherwise it is regarded as a semi-static event.</w:t>
      </w:r>
    </w:p>
    <w:p w14:paraId="637BA04A" w14:textId="77777777" w:rsidR="00192E9B" w:rsidRPr="00192E9B" w:rsidRDefault="00192E9B" w:rsidP="00F71037">
      <w:pPr>
        <w:widowControl w:val="0"/>
        <w:numPr>
          <w:ilvl w:val="1"/>
          <w:numId w:val="127"/>
        </w:numPr>
        <w:autoSpaceDE w:val="0"/>
        <w:autoSpaceDN w:val="0"/>
        <w:adjustRightInd w:val="0"/>
        <w:snapToGrid w:val="0"/>
        <w:spacing w:after="0"/>
        <w:ind w:left="1260"/>
        <w:rPr>
          <w:rFonts w:ascii="Times New Roman" w:eastAsia="SimSun" w:hAnsi="Times New Roman" w:cs="Times New Roman"/>
          <w:bCs/>
          <w:color w:val="000000"/>
          <w:sz w:val="21"/>
          <w:szCs w:val="21"/>
        </w:rPr>
      </w:pPr>
      <w:r w:rsidRPr="00192E9B">
        <w:rPr>
          <w:rFonts w:ascii="Times New Roman" w:eastAsia="DengXian" w:hAnsi="Times New Roman" w:cs="Times New Roman" w:hint="eastAsia"/>
          <w:color w:val="000000"/>
          <w:sz w:val="21"/>
          <w:szCs w:val="21"/>
        </w:rPr>
        <w:t>N</w:t>
      </w:r>
      <w:r w:rsidRPr="00192E9B">
        <w:rPr>
          <w:rFonts w:ascii="Times New Roman" w:eastAsia="DengXian" w:hAnsi="Times New Roman" w:cs="Times New Roman"/>
          <w:color w:val="000000"/>
          <w:sz w:val="21"/>
          <w:szCs w:val="21"/>
        </w:rPr>
        <w:t xml:space="preserve">ote: At least </w:t>
      </w:r>
      <w:r w:rsidRPr="00192E9B">
        <w:rPr>
          <w:rFonts w:ascii="Times New Roman" w:eastAsia="SimSun" w:hAnsi="Times New Roman" w:cs="Times New Roman"/>
          <w:bCs/>
          <w:color w:val="000000"/>
          <w:sz w:val="21"/>
          <w:szCs w:val="21"/>
        </w:rPr>
        <w:t>frequency hopping event is considered as semi-static event.</w:t>
      </w:r>
    </w:p>
    <w:p w14:paraId="400B911C" w14:textId="77777777" w:rsidR="00192E9B" w:rsidRDefault="00192E9B" w:rsidP="00192E9B">
      <w:pPr>
        <w:widowControl w:val="0"/>
        <w:spacing w:after="0"/>
        <w:ind w:left="420"/>
        <w:rPr>
          <w:rFonts w:ascii="Times New Roman" w:eastAsia="Batang" w:hAnsi="Times New Roman" w:cs="Times New Roman"/>
          <w:b/>
          <w:sz w:val="21"/>
          <w:szCs w:val="21"/>
          <w:highlight w:val="green"/>
          <w:lang w:val="en-GB"/>
        </w:rPr>
      </w:pPr>
    </w:p>
    <w:p w14:paraId="18C126C1" w14:textId="11CB51BE" w:rsidR="00192E9B" w:rsidRPr="00192E9B" w:rsidRDefault="00192E9B" w:rsidP="00F71037">
      <w:pPr>
        <w:widowControl w:val="0"/>
        <w:spacing w:after="0"/>
        <w:ind w:left="420"/>
        <w:rPr>
          <w:rFonts w:ascii="Times New Roman" w:eastAsia="Batang" w:hAnsi="Times New Roman" w:cs="Times New Roman"/>
          <w:b/>
          <w:sz w:val="21"/>
          <w:szCs w:val="21"/>
          <w:highlight w:val="green"/>
          <w:lang w:val="en-GB"/>
        </w:rPr>
      </w:pPr>
      <w:r w:rsidRPr="00192E9B">
        <w:rPr>
          <w:rFonts w:ascii="Times New Roman" w:eastAsia="Batang" w:hAnsi="Times New Roman" w:cs="Times New Roman"/>
          <w:b/>
          <w:sz w:val="21"/>
          <w:szCs w:val="21"/>
          <w:highlight w:val="green"/>
          <w:lang w:val="en-GB"/>
        </w:rPr>
        <w:t>Agreement:</w:t>
      </w:r>
    </w:p>
    <w:p w14:paraId="44F88BDC" w14:textId="77777777" w:rsidR="00192E9B" w:rsidRPr="00192E9B" w:rsidRDefault="00192E9B" w:rsidP="00F71037">
      <w:pPr>
        <w:widowControl w:val="0"/>
        <w:numPr>
          <w:ilvl w:val="1"/>
          <w:numId w:val="82"/>
        </w:numPr>
        <w:autoSpaceDE w:val="0"/>
        <w:autoSpaceDN w:val="0"/>
        <w:snapToGrid w:val="0"/>
        <w:spacing w:after="0" w:line="252" w:lineRule="auto"/>
        <w:ind w:left="1260"/>
        <w:rPr>
          <w:rFonts w:ascii="Times New Roman" w:eastAsia="SimSun" w:hAnsi="Times New Roman" w:cs="Times New Roman"/>
          <w:kern w:val="2"/>
          <w:sz w:val="21"/>
          <w:lang w:val="en-GB" w:eastAsia="ja-JP"/>
        </w:rPr>
      </w:pPr>
      <w:r w:rsidRPr="00192E9B">
        <w:rPr>
          <w:rFonts w:ascii="Times New Roman" w:eastAsia="SimSun" w:hAnsi="Times New Roman" w:cs="Times New Roman"/>
          <w:kern w:val="2"/>
          <w:sz w:val="21"/>
          <w:lang w:val="en-GB" w:eastAsia="ja-JP"/>
        </w:rPr>
        <w:t>If the power consistency and phase continuity are violated due to an event</w:t>
      </w:r>
      <w:r w:rsidRPr="00192E9B">
        <w:rPr>
          <w:rFonts w:ascii="Times New Roman" w:eastAsia="SimSun" w:hAnsi="Times New Roman" w:cs="Times New Roman"/>
          <w:kern w:val="2"/>
          <w:sz w:val="21"/>
          <w:lang w:val="en-GB"/>
        </w:rPr>
        <w:t>, whether a new actual TDW is created is subject to UE capability of supporting restarting DMRS bundling.</w:t>
      </w:r>
    </w:p>
    <w:p w14:paraId="0E1A5748" w14:textId="77777777" w:rsidR="00192E9B" w:rsidRPr="00192E9B" w:rsidRDefault="00192E9B" w:rsidP="00F71037">
      <w:pPr>
        <w:widowControl w:val="0"/>
        <w:numPr>
          <w:ilvl w:val="2"/>
          <w:numId w:val="82"/>
        </w:numPr>
        <w:autoSpaceDE w:val="0"/>
        <w:autoSpaceDN w:val="0"/>
        <w:snapToGrid w:val="0"/>
        <w:spacing w:after="0" w:line="252" w:lineRule="auto"/>
        <w:ind w:left="1680"/>
        <w:rPr>
          <w:rFonts w:ascii="Times New Roman" w:eastAsia="SimSun" w:hAnsi="Times New Roman" w:cs="Times New Roman"/>
          <w:kern w:val="2"/>
          <w:sz w:val="21"/>
          <w:lang w:val="en-GB" w:eastAsia="ja-JP"/>
        </w:rPr>
      </w:pPr>
      <w:r w:rsidRPr="00192E9B">
        <w:rPr>
          <w:rFonts w:ascii="Times New Roman" w:eastAsia="SimSun" w:hAnsi="Times New Roman" w:cs="Times New Roman"/>
          <w:kern w:val="2"/>
          <w:sz w:val="21"/>
          <w:lang w:val="en-GB"/>
        </w:rPr>
        <w:t xml:space="preserve">If UE is capable of restarting DM-RS bundling, </w:t>
      </w:r>
      <w:r w:rsidRPr="00192E9B">
        <w:rPr>
          <w:rFonts w:ascii="Times New Roman" w:eastAsia="SimSun" w:hAnsi="Times New Roman" w:cs="Times New Roman"/>
          <w:kern w:val="2"/>
          <w:sz w:val="21"/>
          <w:lang w:val="en-GB" w:eastAsia="ja-JP"/>
        </w:rPr>
        <w:t xml:space="preserve">one new actual TDW is created after the event, </w:t>
      </w:r>
    </w:p>
    <w:p w14:paraId="23932F43" w14:textId="77777777" w:rsidR="00192E9B" w:rsidRPr="00192E9B" w:rsidRDefault="00192E9B" w:rsidP="00F71037">
      <w:pPr>
        <w:widowControl w:val="0"/>
        <w:numPr>
          <w:ilvl w:val="3"/>
          <w:numId w:val="82"/>
        </w:numPr>
        <w:autoSpaceDE w:val="0"/>
        <w:autoSpaceDN w:val="0"/>
        <w:snapToGrid w:val="0"/>
        <w:spacing w:after="0" w:line="252" w:lineRule="auto"/>
        <w:ind w:left="2100"/>
        <w:rPr>
          <w:rFonts w:ascii="Calibri" w:eastAsia="SimSun" w:hAnsi="Calibri" w:cs="Calibri"/>
          <w:kern w:val="2"/>
        </w:rPr>
      </w:pPr>
      <w:r w:rsidRPr="00192E9B">
        <w:rPr>
          <w:rFonts w:ascii="Times New Roman" w:eastAsia="SimSun" w:hAnsi="Times New Roman" w:cs="Times New Roman"/>
          <w:kern w:val="2"/>
          <w:sz w:val="21"/>
          <w:lang w:val="en-GB"/>
        </w:rPr>
        <w:t xml:space="preserve">FFS: The start of the new actual TDW is the first available slot/symbol for PUSCH transmission after the </w:t>
      </w:r>
      <w:r w:rsidRPr="00192E9B">
        <w:rPr>
          <w:rFonts w:ascii="Times New Roman" w:eastAsia="SimSun" w:hAnsi="Times New Roman" w:cs="Times New Roman"/>
          <w:kern w:val="2"/>
          <w:sz w:val="21"/>
          <w:lang w:val="en-GB" w:eastAsia="ko-KR"/>
        </w:rPr>
        <w:t>event</w:t>
      </w:r>
      <w:r w:rsidRPr="00192E9B">
        <w:rPr>
          <w:rFonts w:ascii="Times New Roman" w:eastAsia="SimSun" w:hAnsi="Times New Roman" w:cs="Times New Roman"/>
          <w:kern w:val="2"/>
          <w:sz w:val="21"/>
          <w:lang w:val="en-GB"/>
        </w:rPr>
        <w:t>.</w:t>
      </w:r>
    </w:p>
    <w:p w14:paraId="6088E977" w14:textId="77777777" w:rsidR="00192E9B" w:rsidRPr="00192E9B" w:rsidRDefault="00192E9B" w:rsidP="00F71037">
      <w:pPr>
        <w:widowControl w:val="0"/>
        <w:numPr>
          <w:ilvl w:val="2"/>
          <w:numId w:val="82"/>
        </w:numPr>
        <w:autoSpaceDE w:val="0"/>
        <w:autoSpaceDN w:val="0"/>
        <w:snapToGrid w:val="0"/>
        <w:spacing w:after="120" w:line="252" w:lineRule="auto"/>
        <w:ind w:left="1680"/>
        <w:rPr>
          <w:rFonts w:ascii="Times New Roman" w:eastAsia="SimSun" w:hAnsi="Times New Roman" w:cs="Times New Roman"/>
          <w:kern w:val="2"/>
          <w:sz w:val="21"/>
          <w:szCs w:val="21"/>
          <w:lang w:val="en-GB"/>
        </w:rPr>
      </w:pPr>
      <w:r w:rsidRPr="00192E9B">
        <w:rPr>
          <w:rFonts w:ascii="Times New Roman" w:eastAsia="SimSun" w:hAnsi="Times New Roman" w:cs="Times New Roman"/>
          <w:kern w:val="2"/>
          <w:sz w:val="21"/>
          <w:lang w:val="en-GB"/>
        </w:rPr>
        <w:t>If UE is not capable of restarting DM-RS bundling, no new actual TDW is created until the end of the configured TDW.</w:t>
      </w:r>
    </w:p>
    <w:p w14:paraId="0E788800" w14:textId="26872505" w:rsidR="00157596" w:rsidRPr="00F71037" w:rsidRDefault="00457383" w:rsidP="00157596">
      <w:pPr>
        <w:rPr>
          <w:rFonts w:cstheme="minorHAnsi"/>
          <w:bCs/>
          <w:lang w:val="en-GB"/>
        </w:rPr>
      </w:pPr>
      <w:r w:rsidRPr="00F71037">
        <w:rPr>
          <w:rFonts w:cstheme="minorHAnsi"/>
          <w:bCs/>
          <w:lang w:val="en-GB"/>
        </w:rPr>
        <w:t xml:space="preserve">The </w:t>
      </w:r>
      <w:r w:rsidR="00157596" w:rsidRPr="00F71037">
        <w:rPr>
          <w:rFonts w:cstheme="minorHAnsi"/>
          <w:bCs/>
          <w:lang w:val="en-GB"/>
        </w:rPr>
        <w:t xml:space="preserve">first bullet </w:t>
      </w:r>
      <w:r w:rsidR="00A4315E">
        <w:rPr>
          <w:rFonts w:cstheme="minorHAnsi"/>
          <w:bCs/>
          <w:lang w:val="en-GB"/>
        </w:rPr>
        <w:t>of the proposal does not seem to be</w:t>
      </w:r>
      <w:r w:rsidR="00157596" w:rsidRPr="00F71037">
        <w:rPr>
          <w:rFonts w:cstheme="minorHAnsi"/>
          <w:bCs/>
          <w:lang w:val="en-GB"/>
        </w:rPr>
        <w:t xml:space="preserve"> correct given the bullet from the last agreement above:</w:t>
      </w:r>
    </w:p>
    <w:p w14:paraId="41062BF6" w14:textId="77777777" w:rsidR="00157596" w:rsidRPr="00F71037" w:rsidRDefault="00157596" w:rsidP="00157596">
      <w:pPr>
        <w:numPr>
          <w:ilvl w:val="2"/>
          <w:numId w:val="82"/>
        </w:numPr>
        <w:autoSpaceDE w:val="0"/>
        <w:autoSpaceDN w:val="0"/>
        <w:snapToGrid w:val="0"/>
        <w:spacing w:after="120" w:line="252" w:lineRule="auto"/>
        <w:ind w:left="840"/>
        <w:rPr>
          <w:rFonts w:cstheme="minorHAnsi"/>
          <w:bCs/>
          <w:lang w:val="en-GB"/>
        </w:rPr>
      </w:pPr>
      <w:r w:rsidRPr="00F71037">
        <w:rPr>
          <w:rFonts w:cstheme="minorHAnsi"/>
          <w:bCs/>
          <w:lang w:val="en-GB"/>
        </w:rPr>
        <w:t>If UE is not capable of restarting DM-RS bundling, no new actual TDW is created until the end of the configured TDW.</w:t>
      </w:r>
    </w:p>
    <w:p w14:paraId="24D14C8B" w14:textId="77777777" w:rsidR="00157596" w:rsidRPr="00F71037" w:rsidRDefault="00157596" w:rsidP="00157596">
      <w:pPr>
        <w:rPr>
          <w:rFonts w:cstheme="minorHAnsi"/>
          <w:bCs/>
          <w:lang w:val="en-GB"/>
        </w:rPr>
      </w:pPr>
      <w:r w:rsidRPr="00F71037">
        <w:rPr>
          <w:rFonts w:cstheme="minorHAnsi"/>
          <w:bCs/>
          <w:lang w:val="en-GB"/>
        </w:rPr>
        <w:t>As soon as the dynamic event occurs, bundling stops until the nominal TDW ends, and so if a semi-static event follows the dynamic event, there is no actual TDW created in the nominal TDW.</w:t>
      </w:r>
    </w:p>
    <w:p w14:paraId="53F2AE53" w14:textId="764FB216" w:rsidR="00ED3B8A" w:rsidRDefault="00157596" w:rsidP="00157596">
      <w:pPr>
        <w:rPr>
          <w:rFonts w:cstheme="minorHAnsi"/>
          <w:bCs/>
          <w:lang w:val="en-GB"/>
        </w:rPr>
      </w:pPr>
      <w:r w:rsidRPr="00F71037">
        <w:rPr>
          <w:rFonts w:cstheme="minorHAnsi"/>
          <w:bCs/>
          <w:lang w:val="en-GB"/>
        </w:rPr>
        <w:t xml:space="preserve">Regarding the second bullet, </w:t>
      </w:r>
      <w:r w:rsidR="00ED3B8A" w:rsidRPr="00F71037">
        <w:rPr>
          <w:rFonts w:cstheme="minorHAnsi"/>
          <w:bCs/>
          <w:lang w:val="en-GB"/>
        </w:rPr>
        <w:t>if the dynamic event starts before or after the or is simultaneous with the semi-static event, does not seem to matter.  As soon as the dynamic event starts, bundling stops until the end of the TDW.  If the semi</w:t>
      </w:r>
      <w:r w:rsidR="008367D3">
        <w:rPr>
          <w:rFonts w:cstheme="minorHAnsi"/>
          <w:bCs/>
          <w:lang w:val="en-GB"/>
        </w:rPr>
        <w:t>-</w:t>
      </w:r>
      <w:r w:rsidR="00ED3B8A" w:rsidRPr="00F71037">
        <w:rPr>
          <w:rFonts w:cstheme="minorHAnsi"/>
          <w:bCs/>
          <w:lang w:val="en-GB"/>
        </w:rPr>
        <w:t>static event precedes the dynamic event, any missed symbols due to the semi-static event are in addition to those of the dynamic event.</w:t>
      </w:r>
    </w:p>
    <w:p w14:paraId="22FEFF65" w14:textId="57061B03" w:rsidR="00F6318A" w:rsidRDefault="00F6318A" w:rsidP="00157596">
      <w:pPr>
        <w:rPr>
          <w:rFonts w:cstheme="minorHAnsi"/>
          <w:bCs/>
          <w:lang w:val="en-GB"/>
        </w:rPr>
      </w:pPr>
      <w:r>
        <w:rPr>
          <w:rFonts w:cstheme="minorHAnsi"/>
          <w:bCs/>
          <w:lang w:val="en-GB"/>
        </w:rPr>
        <w:t>Th</w:t>
      </w:r>
      <w:r w:rsidR="003C4F26">
        <w:rPr>
          <w:rFonts w:cstheme="minorHAnsi"/>
          <w:bCs/>
          <w:lang w:val="en-GB"/>
        </w:rPr>
        <w:t>e</w:t>
      </w:r>
      <w:r>
        <w:rPr>
          <w:rFonts w:cstheme="minorHAnsi"/>
          <w:bCs/>
          <w:lang w:val="en-GB"/>
        </w:rPr>
        <w:t xml:space="preserve"> </w:t>
      </w:r>
      <w:proofErr w:type="spellStart"/>
      <w:r>
        <w:rPr>
          <w:rFonts w:cstheme="minorHAnsi"/>
          <w:bCs/>
          <w:lang w:val="en-GB"/>
        </w:rPr>
        <w:t>behavior</w:t>
      </w:r>
      <w:proofErr w:type="spellEnd"/>
      <w:r>
        <w:rPr>
          <w:rFonts w:cstheme="minorHAnsi"/>
          <w:bCs/>
          <w:lang w:val="en-GB"/>
        </w:rPr>
        <w:t xml:space="preserve"> </w:t>
      </w:r>
      <w:r w:rsidR="003C4F26">
        <w:rPr>
          <w:rFonts w:cstheme="minorHAnsi"/>
          <w:bCs/>
          <w:lang w:val="en-GB"/>
        </w:rPr>
        <w:t xml:space="preserve">with mixed semi-static and dynamic events </w:t>
      </w:r>
      <w:r>
        <w:rPr>
          <w:rFonts w:cstheme="minorHAnsi"/>
          <w:bCs/>
          <w:lang w:val="en-GB"/>
        </w:rPr>
        <w:t xml:space="preserve">is illustrated in </w:t>
      </w:r>
      <w:r w:rsidR="0079689C">
        <w:rPr>
          <w:rFonts w:cstheme="minorHAnsi"/>
          <w:bCs/>
          <w:lang w:val="en-GB"/>
        </w:rPr>
        <w:fldChar w:fldCharType="begin"/>
      </w:r>
      <w:r w:rsidR="0079689C">
        <w:rPr>
          <w:rFonts w:cstheme="minorHAnsi"/>
          <w:bCs/>
          <w:lang w:val="en-GB"/>
        </w:rPr>
        <w:instrText xml:space="preserve"> REF _Ref95753243 \h </w:instrText>
      </w:r>
      <w:r w:rsidR="0079689C">
        <w:rPr>
          <w:rFonts w:cstheme="minorHAnsi"/>
          <w:bCs/>
          <w:lang w:val="en-GB"/>
        </w:rPr>
      </w:r>
      <w:r w:rsidR="0079689C">
        <w:rPr>
          <w:rFonts w:cstheme="minorHAnsi"/>
          <w:bCs/>
          <w:lang w:val="en-GB"/>
        </w:rPr>
        <w:fldChar w:fldCharType="separate"/>
      </w:r>
      <w:r w:rsidR="0079689C" w:rsidRPr="00812FBA">
        <w:t xml:space="preserve">Figure </w:t>
      </w:r>
      <w:r w:rsidR="0079689C" w:rsidRPr="00812FBA">
        <w:rPr>
          <w:noProof/>
        </w:rPr>
        <w:t>4</w:t>
      </w:r>
      <w:r w:rsidR="0079689C">
        <w:rPr>
          <w:rFonts w:cstheme="minorHAnsi"/>
          <w:bCs/>
          <w:lang w:val="en-GB"/>
        </w:rPr>
        <w:fldChar w:fldCharType="end"/>
      </w:r>
      <w:r w:rsidR="0079689C">
        <w:rPr>
          <w:rFonts w:cstheme="minorHAnsi"/>
          <w:bCs/>
          <w:lang w:val="en-GB"/>
        </w:rPr>
        <w:t xml:space="preserve"> </w:t>
      </w:r>
      <w:r>
        <w:rPr>
          <w:rFonts w:cstheme="minorHAnsi"/>
          <w:bCs/>
          <w:lang w:val="en-GB"/>
        </w:rPr>
        <w:t>below.  An example where a dynamic event starts before a semi-static event is shown.  Since the UE is not capable of restarting for dynamic events, all slots after both the dynamic and semi-static events until the end of the nominal TDW are ineligible for bundling.</w:t>
      </w:r>
      <w:r w:rsidR="003C4F26">
        <w:rPr>
          <w:rFonts w:cstheme="minorHAnsi"/>
          <w:bCs/>
          <w:lang w:val="en-GB"/>
        </w:rPr>
        <w:t xml:space="preserve">  </w:t>
      </w:r>
    </w:p>
    <w:p w14:paraId="1496F959" w14:textId="7D14E3FB" w:rsidR="00F6318A" w:rsidRDefault="00F6318A" w:rsidP="00F71037">
      <w:pPr>
        <w:keepNext/>
        <w:spacing w:after="0"/>
        <w:jc w:val="center"/>
        <w:rPr>
          <w:rFonts w:cstheme="minorHAnsi"/>
          <w:bCs/>
          <w:lang w:val="en-GB"/>
        </w:rPr>
      </w:pPr>
      <w:r w:rsidRPr="00F6318A">
        <w:rPr>
          <w:noProof/>
        </w:rPr>
        <w:lastRenderedPageBreak/>
        <w:drawing>
          <wp:inline distT="0" distB="0" distL="0" distR="0" wp14:anchorId="1A49F13D" wp14:editId="6862BCF4">
            <wp:extent cx="3816927" cy="19423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7693" cy="1947834"/>
                    </a:xfrm>
                    <a:prstGeom prst="rect">
                      <a:avLst/>
                    </a:prstGeom>
                    <a:noFill/>
                    <a:ln>
                      <a:noFill/>
                    </a:ln>
                  </pic:spPr>
                </pic:pic>
              </a:graphicData>
            </a:graphic>
          </wp:inline>
        </w:drawing>
      </w:r>
    </w:p>
    <w:p w14:paraId="257AFDD6" w14:textId="4D0CEC8D" w:rsidR="00812FBA" w:rsidRPr="00F71037" w:rsidRDefault="00812FBA" w:rsidP="00F71037">
      <w:pPr>
        <w:jc w:val="center"/>
        <w:rPr>
          <w:rFonts w:cstheme="minorHAnsi"/>
          <w:lang w:val="en-GB"/>
        </w:rPr>
      </w:pPr>
      <w:bookmarkStart w:id="14" w:name="_Ref95753243"/>
      <w:r w:rsidRPr="00812FBA">
        <w:t xml:space="preserve">Figure </w:t>
      </w:r>
      <w:r w:rsidRPr="00F71037">
        <w:fldChar w:fldCharType="begin"/>
      </w:r>
      <w:r w:rsidRPr="00812FBA">
        <w:instrText xml:space="preserve"> SEQ Figure \* ARABIC </w:instrText>
      </w:r>
      <w:r w:rsidRPr="00F71037">
        <w:fldChar w:fldCharType="separate"/>
      </w:r>
      <w:r w:rsidRPr="00812FBA">
        <w:rPr>
          <w:noProof/>
        </w:rPr>
        <w:t>4</w:t>
      </w:r>
      <w:r w:rsidRPr="00F71037">
        <w:fldChar w:fldCharType="end"/>
      </w:r>
      <w:bookmarkEnd w:id="14"/>
      <w:r w:rsidRPr="00F71037">
        <w:t>: Semi-static and Dynamic Events in Window Determination</w:t>
      </w:r>
    </w:p>
    <w:p w14:paraId="4F72B30D" w14:textId="05444AFF" w:rsidR="00ED3B8A" w:rsidRDefault="00ED3B8A" w:rsidP="00157596">
      <w:pPr>
        <w:rPr>
          <w:rFonts w:cstheme="minorHAnsi"/>
          <w:bCs/>
          <w:lang w:val="en-GB"/>
        </w:rPr>
      </w:pPr>
      <w:r w:rsidRPr="00F71037">
        <w:rPr>
          <w:rFonts w:cstheme="minorHAnsi"/>
          <w:bCs/>
          <w:lang w:val="en-GB"/>
        </w:rPr>
        <w:t>If we consider a UE that is capable of restarting bundling</w:t>
      </w:r>
      <w:r w:rsidR="00457383" w:rsidRPr="00F71037">
        <w:rPr>
          <w:rFonts w:cstheme="minorHAnsi"/>
          <w:bCs/>
          <w:lang w:val="en-GB"/>
        </w:rPr>
        <w:t xml:space="preserve">, and if there are overlapping semi-static and dynamic events, the symbols excluded from the actual TDWs are the union of the symbols of the events. </w:t>
      </w:r>
    </w:p>
    <w:p w14:paraId="27FDCFB6" w14:textId="32D52602" w:rsidR="001C6260" w:rsidRDefault="001C6260" w:rsidP="00F71037">
      <w:pPr>
        <w:spacing w:after="0"/>
        <w:rPr>
          <w:rFonts w:cstheme="minorHAnsi"/>
          <w:bCs/>
          <w:lang w:val="en-GB"/>
        </w:rPr>
      </w:pPr>
      <w:r w:rsidRPr="00F71037">
        <w:rPr>
          <w:rFonts w:cstheme="minorHAnsi"/>
          <w:b/>
          <w:lang w:val="en-GB"/>
        </w:rPr>
        <w:t>Observation</w:t>
      </w:r>
      <w:r w:rsidR="0090358E">
        <w:rPr>
          <w:rFonts w:cstheme="minorHAnsi"/>
          <w:b/>
          <w:lang w:val="en-GB"/>
        </w:rPr>
        <w:t xml:space="preserve"> 10</w:t>
      </w:r>
      <w:r>
        <w:rPr>
          <w:rFonts w:cstheme="minorHAnsi"/>
          <w:bCs/>
          <w:lang w:val="en-GB"/>
        </w:rPr>
        <w:t>:</w:t>
      </w:r>
    </w:p>
    <w:p w14:paraId="2A697ECB" w14:textId="1BB6429B" w:rsidR="001C6260" w:rsidRPr="004D4E1E" w:rsidRDefault="001C6260" w:rsidP="00F71037">
      <w:pPr>
        <w:pStyle w:val="ListParagraph"/>
        <w:numPr>
          <w:ilvl w:val="0"/>
          <w:numId w:val="139"/>
        </w:numPr>
        <w:rPr>
          <w:rFonts w:cstheme="minorHAnsi"/>
          <w:bCs/>
          <w:lang w:val="en-GB"/>
        </w:rPr>
      </w:pPr>
      <w:r w:rsidRPr="0027113D">
        <w:rPr>
          <w:rFonts w:cstheme="minorHAnsi"/>
          <w:bCs/>
          <w:lang w:val="en-GB"/>
        </w:rPr>
        <w:t xml:space="preserve">The current </w:t>
      </w:r>
      <w:r w:rsidRPr="00901B09">
        <w:rPr>
          <w:rFonts w:cstheme="minorHAnsi"/>
          <w:bCs/>
          <w:lang w:val="en-GB"/>
        </w:rPr>
        <w:t>definition of events in 38.214 seems clear with respect to the interaction of dynamic an</w:t>
      </w:r>
      <w:r w:rsidRPr="00233520">
        <w:rPr>
          <w:rFonts w:cstheme="minorHAnsi"/>
          <w:bCs/>
          <w:lang w:val="en-GB"/>
        </w:rPr>
        <w:t>d semi-</w:t>
      </w:r>
      <w:r w:rsidRPr="00F854BE">
        <w:rPr>
          <w:rFonts w:cstheme="minorHAnsi"/>
          <w:bCs/>
          <w:lang w:val="en-GB"/>
        </w:rPr>
        <w:t>st</w:t>
      </w:r>
      <w:r w:rsidRPr="00424C14">
        <w:rPr>
          <w:rFonts w:cstheme="minorHAnsi"/>
          <w:bCs/>
          <w:lang w:val="en-GB"/>
        </w:rPr>
        <w:t>atic events:</w:t>
      </w:r>
    </w:p>
    <w:p w14:paraId="3A25F74C" w14:textId="2047217A" w:rsidR="001C6260" w:rsidRPr="00F71037" w:rsidRDefault="001C6260" w:rsidP="00F71037">
      <w:pPr>
        <w:pStyle w:val="ListParagraph"/>
        <w:numPr>
          <w:ilvl w:val="1"/>
          <w:numId w:val="139"/>
        </w:numPr>
        <w:rPr>
          <w:rFonts w:cstheme="minorHAnsi"/>
          <w:bCs/>
          <w:lang w:val="en-GB"/>
        </w:rPr>
      </w:pPr>
      <w:r w:rsidRPr="00F71037">
        <w:rPr>
          <w:rFonts w:cstheme="minorHAnsi"/>
          <w:bCs/>
          <w:lang w:val="en-GB"/>
        </w:rPr>
        <w:t xml:space="preserve">If a UE does not support restarting </w:t>
      </w:r>
      <w:r w:rsidR="000E2C9A">
        <w:rPr>
          <w:rFonts w:cstheme="minorHAnsi"/>
          <w:bCs/>
          <w:lang w:val="en-GB"/>
        </w:rPr>
        <w:t>DMRS</w:t>
      </w:r>
      <w:r w:rsidRPr="004D4E1E">
        <w:rPr>
          <w:rFonts w:cstheme="minorHAnsi"/>
          <w:bCs/>
          <w:lang w:val="en-GB"/>
        </w:rPr>
        <w:t xml:space="preserve"> bundling, as soon as a dynamic event occurs, bundling stops until the end of the current nominal TDW</w:t>
      </w:r>
    </w:p>
    <w:p w14:paraId="1B8A9AC6" w14:textId="73B2AF5B" w:rsidR="001C6260" w:rsidRPr="00F71037" w:rsidRDefault="001C6260" w:rsidP="00F71037">
      <w:pPr>
        <w:pStyle w:val="ListParagraph"/>
        <w:numPr>
          <w:ilvl w:val="2"/>
          <w:numId w:val="139"/>
        </w:numPr>
        <w:rPr>
          <w:rFonts w:cstheme="minorHAnsi"/>
          <w:bCs/>
          <w:lang w:val="en-GB"/>
        </w:rPr>
      </w:pPr>
      <w:r w:rsidRPr="00F71037">
        <w:rPr>
          <w:rFonts w:cstheme="minorHAnsi"/>
          <w:bCs/>
          <w:lang w:val="en-GB"/>
        </w:rPr>
        <w:t>This is regardless of the presence of a semi-static event.</w:t>
      </w:r>
    </w:p>
    <w:p w14:paraId="28FE26C1" w14:textId="63DC0190" w:rsidR="001C6260" w:rsidRPr="00F71037" w:rsidRDefault="001C6260" w:rsidP="00F71037">
      <w:pPr>
        <w:pStyle w:val="ListParagraph"/>
        <w:numPr>
          <w:ilvl w:val="1"/>
          <w:numId w:val="139"/>
        </w:numPr>
        <w:rPr>
          <w:rFonts w:asciiTheme="minorHAnsi" w:hAnsiTheme="minorHAnsi" w:cstheme="minorHAnsi"/>
          <w:bCs/>
          <w:lang w:val="en-GB"/>
        </w:rPr>
      </w:pPr>
      <w:r w:rsidRPr="00F71037">
        <w:rPr>
          <w:rFonts w:cstheme="minorHAnsi"/>
          <w:bCs/>
          <w:lang w:val="en-GB"/>
        </w:rPr>
        <w:t xml:space="preserve">If a UE does support restarting </w:t>
      </w:r>
      <w:r w:rsidR="000E2C9A">
        <w:rPr>
          <w:rFonts w:cstheme="minorHAnsi"/>
          <w:bCs/>
          <w:lang w:val="en-GB"/>
        </w:rPr>
        <w:t>DMRS</w:t>
      </w:r>
      <w:r w:rsidRPr="004D4E1E">
        <w:rPr>
          <w:rFonts w:cstheme="minorHAnsi"/>
          <w:bCs/>
          <w:lang w:val="en-GB"/>
        </w:rPr>
        <w:t xml:space="preserve"> bundling</w:t>
      </w:r>
      <w:r w:rsidRPr="00F71037">
        <w:rPr>
          <w:rFonts w:cstheme="minorHAnsi"/>
          <w:bCs/>
          <w:lang w:val="en-GB"/>
        </w:rPr>
        <w:t>, the symbols excluded from bundling are the union of the symbols of all events.</w:t>
      </w:r>
    </w:p>
    <w:p w14:paraId="42FD0B9C" w14:textId="59F6458D" w:rsidR="001C6260" w:rsidRPr="00F71037" w:rsidRDefault="001C6260" w:rsidP="00F71037">
      <w:pPr>
        <w:pStyle w:val="ListParagraph"/>
        <w:numPr>
          <w:ilvl w:val="2"/>
          <w:numId w:val="139"/>
        </w:numPr>
        <w:rPr>
          <w:rFonts w:asciiTheme="minorHAnsi" w:hAnsiTheme="minorHAnsi" w:cstheme="minorHAnsi"/>
          <w:bCs/>
          <w:lang w:val="en-GB"/>
        </w:rPr>
      </w:pPr>
      <w:r>
        <w:rPr>
          <w:rFonts w:cstheme="minorHAnsi"/>
          <w:bCs/>
          <w:lang w:val="en-GB"/>
        </w:rPr>
        <w:t>This is regardless of the type</w:t>
      </w:r>
      <w:r w:rsidR="00564588">
        <w:rPr>
          <w:rFonts w:cstheme="minorHAnsi"/>
          <w:bCs/>
          <w:lang w:val="en-GB"/>
        </w:rPr>
        <w:t>s</w:t>
      </w:r>
      <w:r>
        <w:rPr>
          <w:rFonts w:cstheme="minorHAnsi"/>
          <w:bCs/>
          <w:lang w:val="en-GB"/>
        </w:rPr>
        <w:t xml:space="preserve"> of </w:t>
      </w:r>
      <w:r w:rsidR="00564588">
        <w:rPr>
          <w:rFonts w:cstheme="minorHAnsi"/>
          <w:bCs/>
          <w:lang w:val="en-GB"/>
        </w:rPr>
        <w:t xml:space="preserve">the </w:t>
      </w:r>
      <w:r>
        <w:rPr>
          <w:rFonts w:cstheme="minorHAnsi"/>
          <w:bCs/>
          <w:lang w:val="en-GB"/>
        </w:rPr>
        <w:t>events</w:t>
      </w:r>
    </w:p>
    <w:p w14:paraId="18A7AACF" w14:textId="77777777" w:rsidR="003D512E" w:rsidRDefault="003D512E" w:rsidP="00F71037">
      <w:pPr>
        <w:pStyle w:val="Heading3"/>
      </w:pPr>
      <w:r>
        <w:t xml:space="preserve">HD-FDD </w:t>
      </w:r>
      <w:proofErr w:type="spellStart"/>
      <w:r>
        <w:t>RedCap</w:t>
      </w:r>
      <w:proofErr w:type="spellEnd"/>
      <w:r>
        <w:t xml:space="preserve"> UEs</w:t>
      </w:r>
    </w:p>
    <w:p w14:paraId="73507DF8" w14:textId="77777777" w:rsidR="003D512E" w:rsidRPr="005B56B2" w:rsidRDefault="003D512E" w:rsidP="003D512E">
      <w:pPr>
        <w:rPr>
          <w:rFonts w:cstheme="minorHAnsi"/>
          <w:lang w:val="en-GB"/>
        </w:rPr>
      </w:pPr>
      <w:r>
        <w:rPr>
          <w:rFonts w:cstheme="minorHAnsi"/>
          <w:lang w:val="en-GB"/>
        </w:rPr>
        <w:t xml:space="preserve">In RAN1#107bis, the following proposal was made to address where half duplex FDD </w:t>
      </w:r>
      <w:proofErr w:type="spellStart"/>
      <w:r>
        <w:rPr>
          <w:rFonts w:cstheme="minorHAnsi"/>
          <w:lang w:val="en-GB"/>
        </w:rPr>
        <w:t>RedCap</w:t>
      </w:r>
      <w:proofErr w:type="spellEnd"/>
      <w:r>
        <w:rPr>
          <w:rFonts w:cstheme="minorHAnsi"/>
          <w:lang w:val="en-GB"/>
        </w:rPr>
        <w:t xml:space="preserve"> UEs must switch to receive the downlink:</w:t>
      </w:r>
    </w:p>
    <w:p w14:paraId="71FD8AD4" w14:textId="77777777" w:rsidR="003D512E" w:rsidRDefault="003D512E" w:rsidP="003D512E">
      <w:pPr>
        <w:spacing w:after="0"/>
        <w:ind w:left="360"/>
        <w:rPr>
          <w:rFonts w:ascii="Times New Roman" w:eastAsia="SimSun" w:hAnsi="Times New Roman"/>
          <w:b/>
          <w:szCs w:val="21"/>
          <w:lang w:val="en-GB"/>
        </w:rPr>
      </w:pPr>
      <w:r>
        <w:rPr>
          <w:rFonts w:ascii="Times New Roman" w:eastAsia="SimSun" w:hAnsi="Times New Roman" w:hint="eastAsia"/>
          <w:b/>
          <w:szCs w:val="21"/>
          <w:highlight w:val="yellow"/>
          <w:lang w:val="en-GB"/>
        </w:rPr>
        <w:t>P</w:t>
      </w:r>
      <w:r>
        <w:rPr>
          <w:rFonts w:ascii="Times New Roman" w:eastAsia="SimSun" w:hAnsi="Times New Roman"/>
          <w:b/>
          <w:szCs w:val="21"/>
          <w:highlight w:val="yellow"/>
          <w:lang w:val="en-GB"/>
        </w:rPr>
        <w:t>roposal 10:</w:t>
      </w:r>
    </w:p>
    <w:p w14:paraId="26C3CB0C" w14:textId="77777777" w:rsidR="003D512E" w:rsidRDefault="003D512E" w:rsidP="003D512E">
      <w:pPr>
        <w:pStyle w:val="ListParagraph"/>
        <w:numPr>
          <w:ilvl w:val="0"/>
          <w:numId w:val="140"/>
        </w:numPr>
        <w:autoSpaceDE w:val="0"/>
        <w:autoSpaceDN w:val="0"/>
        <w:adjustRightInd w:val="0"/>
        <w:snapToGrid w:val="0"/>
        <w:spacing w:after="120"/>
        <w:ind w:left="780"/>
        <w:contextualSpacing w:val="0"/>
        <w:rPr>
          <w:bCs/>
          <w:sz w:val="21"/>
          <w:szCs w:val="21"/>
          <w:lang w:val="en-GB"/>
        </w:rPr>
      </w:pPr>
      <w:r>
        <w:rPr>
          <w:bCs/>
          <w:sz w:val="21"/>
          <w:szCs w:val="21"/>
          <w:lang w:val="en-GB"/>
        </w:rPr>
        <w:t>F</w:t>
      </w:r>
      <w:r>
        <w:rPr>
          <w:rFonts w:hint="eastAsia"/>
          <w:color w:val="000000"/>
          <w:sz w:val="21"/>
          <w:szCs w:val="21"/>
        </w:rPr>
        <w:t xml:space="preserve">or </w:t>
      </w:r>
      <w:r>
        <w:rPr>
          <w:sz w:val="21"/>
          <w:szCs w:val="21"/>
        </w:rPr>
        <w:t xml:space="preserve">HD-FDD </w:t>
      </w:r>
      <w:proofErr w:type="spellStart"/>
      <w:r>
        <w:rPr>
          <w:sz w:val="21"/>
          <w:szCs w:val="21"/>
        </w:rPr>
        <w:t>RedCap</w:t>
      </w:r>
      <w:proofErr w:type="spellEnd"/>
      <w:r>
        <w:rPr>
          <w:sz w:val="21"/>
          <w:szCs w:val="21"/>
        </w:rPr>
        <w:t xml:space="preserve"> UEs configured with DMRS bundling</w:t>
      </w:r>
      <w:r>
        <w:rPr>
          <w:rFonts w:hint="eastAsia"/>
          <w:sz w:val="21"/>
          <w:szCs w:val="21"/>
        </w:rPr>
        <w:t xml:space="preserve">, </w:t>
      </w:r>
      <w:r>
        <w:rPr>
          <w:sz w:val="21"/>
          <w:szCs w:val="21"/>
        </w:rPr>
        <w:t xml:space="preserve">an event is constituted for a case where the gap between two consecutive PUSCH repetitions overlaps with any symbol of an SS/PBCH block provided by </w:t>
      </w:r>
      <w:proofErr w:type="spellStart"/>
      <w:r>
        <w:rPr>
          <w:i/>
          <w:sz w:val="21"/>
          <w:szCs w:val="21"/>
        </w:rPr>
        <w:t>ssb-PositionInBurst</w:t>
      </w:r>
      <w:proofErr w:type="spellEnd"/>
      <w:r>
        <w:rPr>
          <w:i/>
          <w:sz w:val="21"/>
          <w:szCs w:val="21"/>
        </w:rPr>
        <w:t xml:space="preserve"> </w:t>
      </w:r>
      <w:r>
        <w:rPr>
          <w:sz w:val="21"/>
          <w:szCs w:val="21"/>
        </w:rPr>
        <w:t>even if neither of the repetitions overlaps with it.</w:t>
      </w:r>
    </w:p>
    <w:p w14:paraId="405151B8" w14:textId="793AB475" w:rsidR="003D512E" w:rsidRDefault="003D512E" w:rsidP="003D512E">
      <w:pPr>
        <w:rPr>
          <w:rFonts w:cstheme="minorHAnsi"/>
          <w:bCs/>
          <w:szCs w:val="21"/>
          <w:lang w:val="en-GB"/>
        </w:rPr>
      </w:pPr>
      <w:r>
        <w:rPr>
          <w:rFonts w:cstheme="minorHAnsi"/>
          <w:bCs/>
          <w:szCs w:val="21"/>
          <w:lang w:val="en-GB"/>
        </w:rPr>
        <w:t>This p</w:t>
      </w:r>
      <w:r w:rsidRPr="005B56B2">
        <w:rPr>
          <w:rFonts w:cstheme="minorHAnsi"/>
          <w:bCs/>
          <w:szCs w:val="21"/>
          <w:lang w:val="en-GB"/>
        </w:rPr>
        <w:t xml:space="preserve">roposal only considers the SSB. Other cases such as DL reception or DL monitoring in the gap between the two PUSCH repetitions for HD-FDD UEs other than SSB will create an event.  </w:t>
      </w:r>
      <w:r>
        <w:rPr>
          <w:rFonts w:cstheme="minorHAnsi"/>
          <w:bCs/>
          <w:szCs w:val="21"/>
          <w:lang w:val="en-GB"/>
        </w:rPr>
        <w:t>Furthermore, it was asked during RAN1#107bis why</w:t>
      </w:r>
      <w:r w:rsidR="00D35DBC">
        <w:rPr>
          <w:rFonts w:cstheme="minorHAnsi"/>
          <w:bCs/>
          <w:szCs w:val="21"/>
          <w:lang w:val="en-GB"/>
        </w:rPr>
        <w:t xml:space="preserve"> the condition</w:t>
      </w:r>
      <w:r>
        <w:rPr>
          <w:rFonts w:cstheme="minorHAnsi"/>
          <w:bCs/>
          <w:szCs w:val="21"/>
          <w:lang w:val="en-GB"/>
        </w:rPr>
        <w:t xml:space="preserve"> ‘</w:t>
      </w:r>
      <w:r w:rsidRPr="002209B8">
        <w:rPr>
          <w:rFonts w:cstheme="minorHAnsi"/>
          <w:bCs/>
          <w:szCs w:val="21"/>
          <w:lang w:val="en-GB"/>
        </w:rPr>
        <w:t>even if neither of the repetitions overlaps with it</w:t>
      </w:r>
      <w:r>
        <w:rPr>
          <w:rFonts w:cstheme="minorHAnsi"/>
          <w:bCs/>
          <w:szCs w:val="21"/>
          <w:lang w:val="en-GB"/>
        </w:rPr>
        <w:t>’ is needed.  This was clarified by the original proponent with the following illustration, where it can be see</w:t>
      </w:r>
      <w:r w:rsidR="00460589">
        <w:rPr>
          <w:rFonts w:cstheme="minorHAnsi"/>
          <w:bCs/>
          <w:szCs w:val="21"/>
          <w:lang w:val="en-GB"/>
        </w:rPr>
        <w:t>n</w:t>
      </w:r>
      <w:r>
        <w:rPr>
          <w:rFonts w:cstheme="minorHAnsi"/>
          <w:bCs/>
          <w:szCs w:val="21"/>
          <w:lang w:val="en-GB"/>
        </w:rPr>
        <w:t xml:space="preserve"> that while the gap overlaps with a downlink reception, the repetitions themselves do not.</w:t>
      </w:r>
      <w:r w:rsidR="00D35DBC">
        <w:rPr>
          <w:rFonts w:cstheme="minorHAnsi"/>
          <w:bCs/>
          <w:szCs w:val="21"/>
          <w:lang w:val="en-GB"/>
        </w:rPr>
        <w:t xml:space="preserve">  While the proposal has the same </w:t>
      </w:r>
      <w:proofErr w:type="spellStart"/>
      <w:r w:rsidR="00D35DBC">
        <w:rPr>
          <w:rFonts w:cstheme="minorHAnsi"/>
          <w:bCs/>
          <w:szCs w:val="21"/>
          <w:lang w:val="en-GB"/>
        </w:rPr>
        <w:t>behavior</w:t>
      </w:r>
      <w:proofErr w:type="spellEnd"/>
      <w:r w:rsidR="00D35DBC">
        <w:rPr>
          <w:rFonts w:cstheme="minorHAnsi"/>
          <w:bCs/>
          <w:szCs w:val="21"/>
          <w:lang w:val="en-GB"/>
        </w:rPr>
        <w:t xml:space="preserve"> without the condition, it is somewhat more clear with the condition, and so we think it can be kept.</w:t>
      </w:r>
    </w:p>
    <w:p w14:paraId="0AB8C8D4" w14:textId="666EA695" w:rsidR="003D512E" w:rsidRDefault="003D512E" w:rsidP="003D512E">
      <w:pPr>
        <w:jc w:val="center"/>
        <w:rPr>
          <w:rFonts w:cstheme="minorHAnsi"/>
          <w:bCs/>
          <w:szCs w:val="21"/>
          <w:lang w:val="en-GB"/>
        </w:rPr>
      </w:pPr>
      <w:r>
        <w:rPr>
          <w:noProof/>
        </w:rPr>
        <w:lastRenderedPageBreak/>
        <w:drawing>
          <wp:inline distT="0" distB="0" distL="0" distR="0" wp14:anchorId="4C6B3211" wp14:editId="476C9795">
            <wp:extent cx="4234815" cy="1101090"/>
            <wp:effectExtent l="0" t="0" r="0" b="3810"/>
            <wp:docPr id="996" name="图片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 name="图片 99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83841" cy="1114256"/>
                    </a:xfrm>
                    <a:prstGeom prst="rect">
                      <a:avLst/>
                    </a:prstGeom>
                  </pic:spPr>
                </pic:pic>
              </a:graphicData>
            </a:graphic>
          </wp:inline>
        </w:drawing>
      </w:r>
    </w:p>
    <w:p w14:paraId="3DF985C9" w14:textId="5B71AF6C" w:rsidR="002216A8" w:rsidRPr="00F71037" w:rsidRDefault="002216A8" w:rsidP="003D512E">
      <w:pPr>
        <w:jc w:val="center"/>
        <w:rPr>
          <w:rFonts w:cstheme="minorHAnsi"/>
          <w:szCs w:val="21"/>
          <w:lang w:val="en-GB"/>
        </w:rPr>
      </w:pPr>
      <w:r w:rsidRPr="00C566EE">
        <w:t xml:space="preserve">Figure </w:t>
      </w:r>
      <w:r w:rsidRPr="00F71037">
        <w:fldChar w:fldCharType="begin"/>
      </w:r>
      <w:r w:rsidRPr="00C566EE">
        <w:instrText xml:space="preserve"> SEQ Figure \* ARABIC </w:instrText>
      </w:r>
      <w:r w:rsidRPr="00F71037">
        <w:fldChar w:fldCharType="separate"/>
      </w:r>
      <w:r w:rsidRPr="00C566EE">
        <w:rPr>
          <w:noProof/>
        </w:rPr>
        <w:t>5</w:t>
      </w:r>
      <w:r w:rsidRPr="00F71037">
        <w:fldChar w:fldCharType="end"/>
      </w:r>
      <w:r w:rsidRPr="00F71037">
        <w:t xml:space="preserve">: </w:t>
      </w:r>
      <w:r w:rsidR="00C566EE" w:rsidRPr="00F71037">
        <w:t xml:space="preserve">Event Creation by DL Reception in an </w:t>
      </w:r>
      <w:r w:rsidRPr="00F71037">
        <w:t xml:space="preserve">HD-FDD UE </w:t>
      </w:r>
    </w:p>
    <w:p w14:paraId="6DFD1D58" w14:textId="45F105CD" w:rsidR="003D512E" w:rsidRPr="005B56B2" w:rsidRDefault="003D512E" w:rsidP="003D512E">
      <w:pPr>
        <w:rPr>
          <w:rFonts w:cstheme="minorHAnsi"/>
          <w:bCs/>
          <w:szCs w:val="21"/>
          <w:lang w:val="en-GB"/>
        </w:rPr>
      </w:pPr>
      <w:r>
        <w:rPr>
          <w:rFonts w:cstheme="minorHAnsi"/>
          <w:bCs/>
          <w:szCs w:val="21"/>
          <w:lang w:val="en-GB"/>
        </w:rPr>
        <w:t>The</w:t>
      </w:r>
      <w:r w:rsidR="00F45300">
        <w:rPr>
          <w:rFonts w:cstheme="minorHAnsi"/>
          <w:bCs/>
          <w:szCs w:val="21"/>
          <w:lang w:val="en-GB"/>
        </w:rPr>
        <w:t>re</w:t>
      </w:r>
      <w:r>
        <w:rPr>
          <w:rFonts w:cstheme="minorHAnsi"/>
          <w:bCs/>
          <w:szCs w:val="21"/>
          <w:lang w:val="en-GB"/>
        </w:rPr>
        <w:t>fore we propose the following:</w:t>
      </w:r>
    </w:p>
    <w:p w14:paraId="225B98E1" w14:textId="6EC0F105" w:rsidR="003D512E" w:rsidRPr="00B51F17" w:rsidRDefault="003D512E" w:rsidP="003D512E">
      <w:pPr>
        <w:spacing w:after="0"/>
        <w:rPr>
          <w:rFonts w:cstheme="minorHAnsi"/>
          <w:b/>
          <w:bCs/>
          <w:lang w:val="en-GB"/>
        </w:rPr>
      </w:pPr>
      <w:r w:rsidRPr="00B51F17">
        <w:rPr>
          <w:rFonts w:cstheme="minorHAnsi"/>
          <w:b/>
          <w:bCs/>
          <w:lang w:val="en-GB"/>
        </w:rPr>
        <w:t xml:space="preserve">Proposal </w:t>
      </w:r>
      <w:r w:rsidR="005C5299">
        <w:rPr>
          <w:rFonts w:cstheme="minorHAnsi"/>
          <w:b/>
          <w:bCs/>
          <w:lang w:val="en-GB"/>
        </w:rPr>
        <w:t>4</w:t>
      </w:r>
    </w:p>
    <w:p w14:paraId="2F04B666" w14:textId="77777777" w:rsidR="003D512E" w:rsidRDefault="003D512E" w:rsidP="003D512E">
      <w:pPr>
        <w:pStyle w:val="ListParagraph"/>
        <w:numPr>
          <w:ilvl w:val="0"/>
          <w:numId w:val="131"/>
        </w:numPr>
        <w:rPr>
          <w:rFonts w:cstheme="minorHAnsi"/>
          <w:szCs w:val="21"/>
        </w:rPr>
      </w:pPr>
      <w:r w:rsidRPr="005B56B2">
        <w:rPr>
          <w:rFonts w:asciiTheme="minorHAnsi" w:hAnsiTheme="minorHAnsi" w:cstheme="minorHAnsi"/>
          <w:szCs w:val="22"/>
          <w:lang w:val="en-GB"/>
        </w:rPr>
        <w:t>F</w:t>
      </w:r>
      <w:r w:rsidRPr="005B56B2">
        <w:rPr>
          <w:rFonts w:asciiTheme="minorHAnsi" w:hAnsiTheme="minorHAnsi" w:cstheme="minorHAnsi"/>
          <w:color w:val="000000"/>
          <w:szCs w:val="22"/>
        </w:rPr>
        <w:t>or</w:t>
      </w:r>
      <w:r w:rsidRPr="005B56B2">
        <w:rPr>
          <w:rFonts w:asciiTheme="minorHAnsi" w:hAnsiTheme="minorHAnsi" w:cstheme="minorHAnsi"/>
          <w:color w:val="000000"/>
          <w:szCs w:val="21"/>
        </w:rPr>
        <w:t xml:space="preserve"> </w:t>
      </w:r>
      <w:r w:rsidRPr="005B56B2">
        <w:rPr>
          <w:rFonts w:asciiTheme="minorHAnsi" w:hAnsiTheme="minorHAnsi" w:cstheme="minorHAnsi"/>
          <w:szCs w:val="21"/>
        </w:rPr>
        <w:t xml:space="preserve">HD-FDD </w:t>
      </w:r>
      <w:proofErr w:type="spellStart"/>
      <w:r w:rsidRPr="005B56B2">
        <w:rPr>
          <w:rFonts w:asciiTheme="minorHAnsi" w:hAnsiTheme="minorHAnsi" w:cstheme="minorHAnsi"/>
          <w:szCs w:val="21"/>
        </w:rPr>
        <w:t>RedCap</w:t>
      </w:r>
      <w:proofErr w:type="spellEnd"/>
      <w:r w:rsidRPr="005B56B2">
        <w:rPr>
          <w:rFonts w:asciiTheme="minorHAnsi" w:hAnsiTheme="minorHAnsi" w:cstheme="minorHAnsi"/>
          <w:szCs w:val="21"/>
        </w:rPr>
        <w:t xml:space="preserve"> UEs configured with DMRS bundling, an event is constituted for a case where the gap between two consecutive PUSCH repetitions overlaps with any symbol of </w:t>
      </w:r>
      <w:r w:rsidRPr="005B56B2">
        <w:rPr>
          <w:rFonts w:asciiTheme="minorHAnsi" w:hAnsiTheme="minorHAnsi" w:cstheme="minorHAnsi"/>
          <w:szCs w:val="21"/>
          <w:lang w:val="en-GB"/>
        </w:rPr>
        <w:t xml:space="preserve">downlink reception or downlink monitoring </w:t>
      </w:r>
      <w:r w:rsidRPr="005B56B2">
        <w:rPr>
          <w:rFonts w:asciiTheme="minorHAnsi" w:hAnsiTheme="minorHAnsi" w:cstheme="minorHAnsi"/>
          <w:szCs w:val="21"/>
        </w:rPr>
        <w:t>even if neither of the repetitions overlaps with it.</w:t>
      </w:r>
    </w:p>
    <w:p w14:paraId="24A2E8F6" w14:textId="7AEB3E08" w:rsidR="00812FBA" w:rsidRDefault="00812FBA">
      <w:pPr>
        <w:pStyle w:val="Heading2"/>
      </w:pPr>
      <w:r>
        <w:t>Value Range for TDW Length</w:t>
      </w:r>
    </w:p>
    <w:p w14:paraId="171882DD" w14:textId="10CACAB2" w:rsidR="00812FBA" w:rsidRDefault="00812FBA" w:rsidP="00812FBA">
      <w:r>
        <w:t>RAN4 is discussing suitable values for maximum duration, including values as small as 5 slots.  These small values could limit which operators’ TDD patterns the UEs could support DMRS bundling in. For example, consider a TDD DDDSUDDSUU pattern where there are 3 or 4 repetitions per scheduled PUSCH, and the first repetition is in the 5</w:t>
      </w:r>
      <w:r w:rsidRPr="00F860ED">
        <w:rPr>
          <w:vertAlign w:val="superscript"/>
        </w:rPr>
        <w:t>th</w:t>
      </w:r>
      <w:r>
        <w:t xml:space="preserve"> slot of the pattern.  Time domain window sizes of 5 and 8 slots are considered.</w:t>
      </w:r>
    </w:p>
    <w:p w14:paraId="2261179A" w14:textId="77777777" w:rsidR="00812FBA" w:rsidRDefault="00812FBA" w:rsidP="00812FBA"/>
    <w:p w14:paraId="01D33515" w14:textId="77777777" w:rsidR="00812FBA" w:rsidRDefault="00812FBA" w:rsidP="00812FBA">
      <w:r w:rsidRPr="006526A7">
        <w:rPr>
          <w:noProof/>
        </w:rPr>
        <w:drawing>
          <wp:inline distT="0" distB="0" distL="0" distR="0" wp14:anchorId="033B1960" wp14:editId="0D49364B">
            <wp:extent cx="6264275" cy="105664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1056640"/>
                    </a:xfrm>
                    <a:prstGeom prst="rect">
                      <a:avLst/>
                    </a:prstGeom>
                    <a:noFill/>
                    <a:ln>
                      <a:noFill/>
                    </a:ln>
                  </pic:spPr>
                </pic:pic>
              </a:graphicData>
            </a:graphic>
          </wp:inline>
        </w:drawing>
      </w:r>
    </w:p>
    <w:p w14:paraId="1EA81AB5" w14:textId="138CF849" w:rsidR="00812FBA" w:rsidRPr="00F71037" w:rsidRDefault="00583CEE" w:rsidP="00812FBA">
      <w:pPr>
        <w:jc w:val="center"/>
      </w:pPr>
      <w:r w:rsidRPr="00583CEE">
        <w:t xml:space="preserve">Figure </w:t>
      </w:r>
      <w:r w:rsidRPr="00F71037">
        <w:fldChar w:fldCharType="begin"/>
      </w:r>
      <w:r w:rsidRPr="00583CEE">
        <w:instrText xml:space="preserve"> SEQ Figure \* ARABIC </w:instrText>
      </w:r>
      <w:r w:rsidRPr="00F71037">
        <w:fldChar w:fldCharType="separate"/>
      </w:r>
      <w:r w:rsidRPr="00583CEE">
        <w:rPr>
          <w:noProof/>
        </w:rPr>
        <w:t>6</w:t>
      </w:r>
      <w:r w:rsidRPr="00F71037">
        <w:fldChar w:fldCharType="end"/>
      </w:r>
      <w:r w:rsidR="00812FBA" w:rsidRPr="00F71037">
        <w:t>: TDW scheduling for TDD</w:t>
      </w:r>
    </w:p>
    <w:p w14:paraId="32154E73" w14:textId="77777777" w:rsidR="00812FBA" w:rsidRDefault="00812FBA" w:rsidP="00812FBA">
      <w:r>
        <w:t>The 5 slot long TDW can be seen to be problematic: a new TDW starts after repetition #2 for both the 3 and 4 repetition cases, and so repetition #3 can’t be bundled with repetition #2 even though the two slots are back to back.  The 8 slot long TDW avoids this problem, since it is wide enough to reach the ‘UU’ slots over the intervening downlink slots.  Moreover, the main observation here is that because TDWs are defined using consecutive slots, TDW lengths need to be longer for TDD in order to avoid scheduling restrictions.  In particular, UEs supporting a 5 slot maximum duration will not function well in some commonly used TDD patterns.</w:t>
      </w:r>
    </w:p>
    <w:p w14:paraId="6A7E82A8" w14:textId="05DE21C6" w:rsidR="002745DA" w:rsidRDefault="002745DA" w:rsidP="002745DA">
      <w:pPr>
        <w:spacing w:after="0"/>
        <w:rPr>
          <w:rFonts w:cstheme="minorHAnsi"/>
          <w:bCs/>
          <w:lang w:val="en-GB"/>
        </w:rPr>
      </w:pPr>
      <w:r w:rsidRPr="00F860ED">
        <w:rPr>
          <w:rFonts w:cstheme="minorHAnsi"/>
          <w:b/>
          <w:lang w:val="en-GB"/>
        </w:rPr>
        <w:t>Observation</w:t>
      </w:r>
      <w:r>
        <w:rPr>
          <w:rFonts w:cstheme="minorHAnsi"/>
          <w:b/>
          <w:lang w:val="en-GB"/>
        </w:rPr>
        <w:t xml:space="preserve"> 11</w:t>
      </w:r>
      <w:r>
        <w:rPr>
          <w:rFonts w:cstheme="minorHAnsi"/>
          <w:bCs/>
          <w:lang w:val="en-GB"/>
        </w:rPr>
        <w:t>:</w:t>
      </w:r>
    </w:p>
    <w:p w14:paraId="766F6133" w14:textId="77777777" w:rsidR="00812FBA" w:rsidRPr="00F71037" w:rsidRDefault="00812FBA" w:rsidP="00F71037">
      <w:pPr>
        <w:pStyle w:val="ListParagraph"/>
        <w:numPr>
          <w:ilvl w:val="0"/>
          <w:numId w:val="131"/>
        </w:numPr>
        <w:rPr>
          <w:rFonts w:cstheme="minorHAnsi"/>
        </w:rPr>
      </w:pPr>
      <w:r w:rsidRPr="00F71037">
        <w:rPr>
          <w:rFonts w:asciiTheme="minorHAnsi" w:hAnsiTheme="minorHAnsi" w:cstheme="minorHAnsi"/>
        </w:rPr>
        <w:t>UEs supporting small maximum duration values, especially those less than 8 slots, will not function well in commonly used TDD patterns.</w:t>
      </w:r>
    </w:p>
    <w:p w14:paraId="29F0D00C" w14:textId="77777777" w:rsidR="00812FBA" w:rsidRPr="00166A56" w:rsidRDefault="00812FBA" w:rsidP="00812FBA">
      <w:r w:rsidRPr="00D42179">
        <w:t xml:space="preserve">It should be noted that support for a larger maximum duration than 5 slots may not impose additional RF complexity on the UE.  Common TDD patterns have at most two back-to-back uplink slots before a </w:t>
      </w:r>
      <w:r w:rsidRPr="00D42179">
        <w:lastRenderedPageBreak/>
        <w:t>downlink slot, and as such are only required to support an actual TDW of two slots.  The UE can update its timing advance or correct its frequency error as soon as there is a downlink slot.  Therefore, supporting even a 32 slot maximum duration should not be a significant burden on the UE with the high downlink to uplink slot ratios used in TDD.</w:t>
      </w:r>
    </w:p>
    <w:p w14:paraId="135C2630" w14:textId="2304F1EA" w:rsidR="002745DA" w:rsidRDefault="002745DA" w:rsidP="002745DA">
      <w:pPr>
        <w:spacing w:after="0"/>
        <w:rPr>
          <w:rFonts w:cstheme="minorHAnsi"/>
          <w:bCs/>
          <w:lang w:val="en-GB"/>
        </w:rPr>
      </w:pPr>
      <w:r w:rsidRPr="00F860ED">
        <w:rPr>
          <w:rFonts w:cstheme="minorHAnsi"/>
          <w:b/>
          <w:lang w:val="en-GB"/>
        </w:rPr>
        <w:t>Observation</w:t>
      </w:r>
      <w:r>
        <w:rPr>
          <w:rFonts w:cstheme="minorHAnsi"/>
          <w:b/>
          <w:lang w:val="en-GB"/>
        </w:rPr>
        <w:t xml:space="preserve"> 12</w:t>
      </w:r>
      <w:r>
        <w:rPr>
          <w:rFonts w:cstheme="minorHAnsi"/>
          <w:bCs/>
          <w:lang w:val="en-GB"/>
        </w:rPr>
        <w:t>:</w:t>
      </w:r>
    </w:p>
    <w:p w14:paraId="166A3334" w14:textId="2B390A15" w:rsidR="00812FBA" w:rsidRPr="00F71037" w:rsidRDefault="00812FBA" w:rsidP="002745DA">
      <w:pPr>
        <w:pStyle w:val="ListParagraph"/>
        <w:numPr>
          <w:ilvl w:val="0"/>
          <w:numId w:val="131"/>
        </w:numPr>
        <w:rPr>
          <w:rFonts w:asciiTheme="minorHAnsi" w:hAnsiTheme="minorHAnsi" w:cstheme="minorHAnsi"/>
        </w:rPr>
      </w:pPr>
      <w:r w:rsidRPr="00F71037">
        <w:rPr>
          <w:rFonts w:asciiTheme="minorHAnsi" w:hAnsiTheme="minorHAnsi" w:cstheme="minorHAnsi"/>
        </w:rPr>
        <w:t>Rel-17 UEs are only required to maintain phase continuity for back to back slots, and so even a 32 slot maximum duration should not be a significant burden for TDD.</w:t>
      </w:r>
    </w:p>
    <w:p w14:paraId="1B0D75C2" w14:textId="3E19CA2A" w:rsidR="00051ABB" w:rsidRPr="004E02DB" w:rsidRDefault="00051ABB" w:rsidP="00051ABB">
      <w:pPr>
        <w:spacing w:after="0"/>
        <w:rPr>
          <w:rFonts w:cstheme="minorHAnsi"/>
          <w:b/>
          <w:bCs/>
          <w:lang w:val="en-GB"/>
        </w:rPr>
      </w:pPr>
      <w:r w:rsidRPr="004E02DB">
        <w:rPr>
          <w:rFonts w:cstheme="minorHAnsi"/>
          <w:b/>
          <w:bCs/>
          <w:lang w:val="en-GB"/>
        </w:rPr>
        <w:t>Proposal 5</w:t>
      </w:r>
    </w:p>
    <w:p w14:paraId="3F4A28D6" w14:textId="7BFFD33A" w:rsidR="00051ABB" w:rsidRPr="00F71037" w:rsidRDefault="00051ABB" w:rsidP="00F71037">
      <w:pPr>
        <w:pStyle w:val="ListParagraph"/>
        <w:numPr>
          <w:ilvl w:val="0"/>
          <w:numId w:val="131"/>
        </w:numPr>
        <w:rPr>
          <w:rFonts w:cstheme="minorHAnsi"/>
        </w:rPr>
      </w:pPr>
      <w:r w:rsidRPr="00F71037">
        <w:rPr>
          <w:rFonts w:asciiTheme="minorHAnsi" w:hAnsiTheme="minorHAnsi" w:cstheme="minorHAnsi"/>
        </w:rPr>
        <w:t xml:space="preserve">Inform RAN4 that the minimum value that can be reported as a </w:t>
      </w:r>
      <w:r w:rsidR="004E02DB" w:rsidRPr="00F71037">
        <w:rPr>
          <w:rFonts w:asciiTheme="minorHAnsi" w:hAnsiTheme="minorHAnsi" w:cstheme="minorHAnsi"/>
          <w:lang w:val="en-GB"/>
        </w:rPr>
        <w:t xml:space="preserve">maximum duration for DMRS bundling </w:t>
      </w:r>
      <w:r w:rsidR="0006455E" w:rsidRPr="00F71037">
        <w:rPr>
          <w:rFonts w:asciiTheme="minorHAnsi" w:hAnsiTheme="minorHAnsi" w:cstheme="minorHAnsi"/>
        </w:rPr>
        <w:t xml:space="preserve">at least for TDD </w:t>
      </w:r>
      <w:r w:rsidRPr="00F71037">
        <w:rPr>
          <w:rFonts w:asciiTheme="minorHAnsi" w:hAnsiTheme="minorHAnsi" w:cstheme="minorHAnsi"/>
        </w:rPr>
        <w:t>should be no less than 8, and is preferably larger from a RAN1 perspective.</w:t>
      </w:r>
    </w:p>
    <w:p w14:paraId="62F88ACE" w14:textId="184DFFAC" w:rsidR="00DA3854" w:rsidRDefault="00714053" w:rsidP="00DA3854">
      <w:pPr>
        <w:pStyle w:val="Heading2"/>
      </w:pPr>
      <w:r>
        <w:t>Transmit Power Control (</w:t>
      </w:r>
      <w:r w:rsidR="00DA3854">
        <w:t>TPC</w:t>
      </w:r>
      <w:r>
        <w:t>)</w:t>
      </w:r>
      <w:bookmarkEnd w:id="12"/>
      <w:r w:rsidR="000C3F95">
        <w:t xml:space="preserve"> </w:t>
      </w:r>
      <w:r w:rsidR="00727B83">
        <w:t xml:space="preserve">Processing in </w:t>
      </w:r>
      <w:r w:rsidR="000C3F95">
        <w:t>a T</w:t>
      </w:r>
      <w:r w:rsidR="00966D40">
        <w:t>ime Domain Window</w:t>
      </w:r>
    </w:p>
    <w:p w14:paraId="1DA67022" w14:textId="508BB166" w:rsidR="00653BA0" w:rsidRDefault="00653BA0" w:rsidP="00BB2174">
      <w:pPr>
        <w:rPr>
          <w:lang w:val="en-GB"/>
        </w:rPr>
      </w:pPr>
      <w:r>
        <w:rPr>
          <w:lang w:val="en-GB"/>
        </w:rPr>
        <w:t>In RAN1#10</w:t>
      </w:r>
      <w:r w:rsidR="008F40CC">
        <w:rPr>
          <w:lang w:val="en-GB"/>
        </w:rPr>
        <w:t>7</w:t>
      </w:r>
      <w:r>
        <w:rPr>
          <w:lang w:val="en-GB"/>
        </w:rPr>
        <w:t xml:space="preserve">, </w:t>
      </w:r>
      <w:r w:rsidR="008F40CC">
        <w:rPr>
          <w:lang w:val="en-GB"/>
        </w:rPr>
        <w:t xml:space="preserve">support for </w:t>
      </w:r>
      <w:r w:rsidR="008F40CC" w:rsidRPr="008F40CC">
        <w:rPr>
          <w:lang w:val="en-GB"/>
        </w:rPr>
        <w:t xml:space="preserve">group common TPC commands </w:t>
      </w:r>
      <w:r w:rsidR="008F40CC">
        <w:rPr>
          <w:lang w:val="en-GB"/>
        </w:rPr>
        <w:t>during a configured time domain window was agreed via the following working assumption:</w:t>
      </w:r>
    </w:p>
    <w:p w14:paraId="3EFED9BA" w14:textId="77777777" w:rsidR="008F40CC" w:rsidRPr="008F40CC" w:rsidRDefault="008F40CC" w:rsidP="00B51F17">
      <w:pPr>
        <w:spacing w:after="0" w:line="240" w:lineRule="auto"/>
        <w:ind w:left="420"/>
        <w:rPr>
          <w:rFonts w:ascii="Times New Roman" w:eastAsia="Calibri" w:hAnsi="Times New Roman" w:cs="Calibri"/>
          <w:b/>
          <w:highlight w:val="darkYellow"/>
        </w:rPr>
      </w:pPr>
      <w:r w:rsidRPr="008F40CC">
        <w:rPr>
          <w:rFonts w:ascii="Times New Roman" w:eastAsia="Calibri" w:hAnsi="Times New Roman" w:cs="Calibri"/>
          <w:b/>
          <w:highlight w:val="darkYellow"/>
        </w:rPr>
        <w:t>Working assumption:</w:t>
      </w:r>
    </w:p>
    <w:p w14:paraId="51F38E09" w14:textId="77777777" w:rsidR="008F40CC" w:rsidRPr="008F40CC" w:rsidRDefault="008F40CC" w:rsidP="00B51F17">
      <w:pPr>
        <w:numPr>
          <w:ilvl w:val="0"/>
          <w:numId w:val="126"/>
        </w:numPr>
        <w:autoSpaceDE w:val="0"/>
        <w:autoSpaceDN w:val="0"/>
        <w:adjustRightInd w:val="0"/>
        <w:snapToGrid w:val="0"/>
        <w:spacing w:after="120" w:line="240" w:lineRule="auto"/>
        <w:ind w:left="840"/>
        <w:rPr>
          <w:rFonts w:ascii="Times" w:eastAsia="Batang" w:hAnsi="Times" w:cs="Times New Roman"/>
          <w:sz w:val="21"/>
          <w:szCs w:val="21"/>
          <w:lang w:val="en-GB"/>
        </w:rPr>
      </w:pPr>
      <w:r w:rsidRPr="008F40CC">
        <w:rPr>
          <w:rFonts w:ascii="Times" w:eastAsia="Batang" w:hAnsi="Times" w:cs="Times New Roman"/>
          <w:sz w:val="21"/>
          <w:szCs w:val="21"/>
          <w:lang w:val="en-GB"/>
        </w:rPr>
        <w:t>The action of group common TPC commands with format 2_2 does not constitute an event that violates power consistency and phase continuity.</w:t>
      </w:r>
    </w:p>
    <w:p w14:paraId="079CC477" w14:textId="77777777" w:rsidR="008F40CC" w:rsidRPr="008F40CC" w:rsidRDefault="008F40CC" w:rsidP="00B51F17">
      <w:pPr>
        <w:numPr>
          <w:ilvl w:val="1"/>
          <w:numId w:val="106"/>
        </w:numPr>
        <w:autoSpaceDE w:val="0"/>
        <w:autoSpaceDN w:val="0"/>
        <w:adjustRightInd w:val="0"/>
        <w:snapToGrid w:val="0"/>
        <w:spacing w:after="0" w:line="240" w:lineRule="auto"/>
        <w:ind w:left="1200"/>
        <w:rPr>
          <w:rFonts w:ascii="Times" w:eastAsia="Batang" w:hAnsi="Times" w:cs="Times New Roman"/>
          <w:sz w:val="21"/>
          <w:szCs w:val="21"/>
          <w:lang w:val="en-GB" w:eastAsia="x-none"/>
        </w:rPr>
      </w:pPr>
      <w:r w:rsidRPr="008F40CC">
        <w:rPr>
          <w:rFonts w:ascii="Times" w:eastAsia="Batang" w:hAnsi="Times" w:cs="Times New Roman"/>
          <w:sz w:val="21"/>
          <w:szCs w:val="21"/>
          <w:lang w:val="en-GB"/>
        </w:rPr>
        <w:t xml:space="preserve">If UE is configured to </w:t>
      </w:r>
      <w:r w:rsidRPr="008F40CC">
        <w:rPr>
          <w:rFonts w:ascii="Times" w:eastAsia="Batang" w:hAnsi="Times" w:cs="Times New Roman"/>
          <w:bCs/>
          <w:sz w:val="21"/>
          <w:szCs w:val="21"/>
          <w:lang w:val="en-GB" w:eastAsia="x-none"/>
        </w:rPr>
        <w:t>accumulate TPC commands,</w:t>
      </w:r>
    </w:p>
    <w:p w14:paraId="2429D0DD" w14:textId="77777777" w:rsidR="008F40CC" w:rsidRPr="008F40CC" w:rsidRDefault="008F40CC" w:rsidP="00B51F17">
      <w:pPr>
        <w:numPr>
          <w:ilvl w:val="2"/>
          <w:numId w:val="82"/>
        </w:numPr>
        <w:autoSpaceDE w:val="0"/>
        <w:autoSpaceDN w:val="0"/>
        <w:adjustRightInd w:val="0"/>
        <w:snapToGrid w:val="0"/>
        <w:spacing w:after="0" w:line="240" w:lineRule="auto"/>
        <w:ind w:left="1680"/>
        <w:rPr>
          <w:rFonts w:ascii="Times New Roman" w:eastAsia="SimSun" w:hAnsi="Times New Roman" w:cs="Calibri"/>
          <w:szCs w:val="21"/>
        </w:rPr>
      </w:pPr>
      <w:r w:rsidRPr="008F40CC">
        <w:rPr>
          <w:rFonts w:ascii="Times New Roman" w:eastAsia="SimSun" w:hAnsi="Times New Roman" w:cs="Calibri"/>
          <w:szCs w:val="21"/>
        </w:rPr>
        <w:t>If UE receives TPC commands that would take into effect during a configured TDW, UE accumulates TPC commands without taking effect during the current configured TDW. TPC commands take effect after the current configured TDW.</w:t>
      </w:r>
    </w:p>
    <w:p w14:paraId="733E7AA2" w14:textId="77777777" w:rsidR="008F40CC" w:rsidRPr="008F40CC" w:rsidRDefault="008F40CC" w:rsidP="00B51F17">
      <w:pPr>
        <w:numPr>
          <w:ilvl w:val="1"/>
          <w:numId w:val="106"/>
        </w:numPr>
        <w:autoSpaceDE w:val="0"/>
        <w:autoSpaceDN w:val="0"/>
        <w:adjustRightInd w:val="0"/>
        <w:snapToGrid w:val="0"/>
        <w:spacing w:after="0" w:line="240" w:lineRule="auto"/>
        <w:ind w:left="1200"/>
        <w:rPr>
          <w:rFonts w:ascii="Times" w:eastAsia="Batang" w:hAnsi="Times" w:cs="Times New Roman"/>
          <w:sz w:val="21"/>
          <w:szCs w:val="21"/>
          <w:lang w:val="en-GB"/>
        </w:rPr>
      </w:pPr>
      <w:r w:rsidRPr="008F40CC">
        <w:rPr>
          <w:rFonts w:ascii="Times" w:eastAsia="Batang" w:hAnsi="Times" w:cs="Times New Roman"/>
          <w:sz w:val="21"/>
          <w:szCs w:val="21"/>
          <w:lang w:val="en-GB"/>
        </w:rPr>
        <w:t>If UE is not configured to accumulate TPC commands</w:t>
      </w:r>
    </w:p>
    <w:p w14:paraId="3EF39C93" w14:textId="77777777" w:rsidR="008F40CC" w:rsidRPr="008F40CC" w:rsidRDefault="008F40CC" w:rsidP="00B51F17">
      <w:pPr>
        <w:numPr>
          <w:ilvl w:val="2"/>
          <w:numId w:val="82"/>
        </w:numPr>
        <w:autoSpaceDE w:val="0"/>
        <w:autoSpaceDN w:val="0"/>
        <w:adjustRightInd w:val="0"/>
        <w:snapToGrid w:val="0"/>
        <w:spacing w:after="0" w:line="240" w:lineRule="auto"/>
        <w:ind w:left="1680"/>
        <w:rPr>
          <w:rFonts w:ascii="Times New Roman" w:eastAsia="SimSun" w:hAnsi="Times New Roman" w:cs="Calibri"/>
          <w:szCs w:val="21"/>
        </w:rPr>
      </w:pPr>
      <w:r w:rsidRPr="008F40CC">
        <w:rPr>
          <w:rFonts w:ascii="Times New Roman" w:eastAsia="SimSun" w:hAnsi="Times New Roman" w:cs="Calibri"/>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2CA99D5" w14:textId="77777777" w:rsidR="008F40CC" w:rsidRPr="008F40CC" w:rsidRDefault="008F40CC" w:rsidP="00B51F17">
      <w:pPr>
        <w:numPr>
          <w:ilvl w:val="3"/>
          <w:numId w:val="82"/>
        </w:numPr>
        <w:autoSpaceDE w:val="0"/>
        <w:autoSpaceDN w:val="0"/>
        <w:adjustRightInd w:val="0"/>
        <w:snapToGrid w:val="0"/>
        <w:spacing w:after="0" w:line="240" w:lineRule="auto"/>
        <w:ind w:left="2100"/>
        <w:rPr>
          <w:rFonts w:ascii="Times New Roman" w:eastAsia="SimSun" w:hAnsi="Times New Roman" w:cs="Calibri"/>
          <w:szCs w:val="21"/>
        </w:rPr>
      </w:pPr>
      <w:r w:rsidRPr="008F40CC">
        <w:rPr>
          <w:rFonts w:ascii="Times New Roman" w:eastAsia="SimSun" w:hAnsi="Times New Roman" w:cs="Calibri"/>
          <w:szCs w:val="21"/>
        </w:rPr>
        <w:t>FFS: no more than 1 TPC command is expected to take effect during a configured TDW.</w:t>
      </w:r>
    </w:p>
    <w:p w14:paraId="7C99525D" w14:textId="77777777" w:rsidR="00340108" w:rsidRDefault="00340108" w:rsidP="008F40CC">
      <w:pPr>
        <w:rPr>
          <w:lang w:val="en-GB"/>
        </w:rPr>
      </w:pPr>
    </w:p>
    <w:p w14:paraId="383EB396" w14:textId="5E586CE6" w:rsidR="00137A68" w:rsidRDefault="008F40CC" w:rsidP="00137A68">
      <w:pPr>
        <w:rPr>
          <w:lang w:val="en-GB"/>
        </w:rPr>
      </w:pPr>
      <w:r>
        <w:rPr>
          <w:lang w:val="en-GB"/>
        </w:rPr>
        <w:t xml:space="preserve">There was no agreement </w:t>
      </w:r>
      <w:r w:rsidR="00B565F5">
        <w:rPr>
          <w:lang w:val="en-GB"/>
        </w:rPr>
        <w:t xml:space="preserve">in RAN1#107bis </w:t>
      </w:r>
      <w:r>
        <w:rPr>
          <w:lang w:val="en-GB"/>
        </w:rPr>
        <w:t xml:space="preserve">on how to implement this working assumption in 38.213, however.  </w:t>
      </w:r>
      <w:r w:rsidR="00137A68">
        <w:rPr>
          <w:lang w:val="en-GB"/>
        </w:rPr>
        <w:t>One of the aspects that that limited progress was different understandings among companies on how both accumulated and absolute power control function in Rel-15/16.</w:t>
      </w:r>
    </w:p>
    <w:p w14:paraId="142543AA" w14:textId="7BFE1933" w:rsidR="00137A68" w:rsidRDefault="00137A68" w:rsidP="008F40CC">
      <w:pPr>
        <w:rPr>
          <w:lang w:val="en-GB"/>
        </w:rPr>
      </w:pPr>
      <w:r>
        <w:rPr>
          <w:lang w:val="en-GB"/>
        </w:rPr>
        <w:t>For Rel-15/16 accumulated power control, two interpretations were debated.  The moderator raised the following question:</w:t>
      </w:r>
    </w:p>
    <w:p w14:paraId="0159EFB5" w14:textId="77777777" w:rsidR="00137A68" w:rsidRDefault="00137A68" w:rsidP="00137A68">
      <w:pPr>
        <w:ind w:left="567"/>
        <w:rPr>
          <w:rFonts w:ascii="Times New Roman" w:hAnsi="Times New Roman" w:cs="Times New Roman"/>
          <w:lang w:val="en-GB"/>
        </w:rPr>
      </w:pPr>
      <w:r>
        <w:rPr>
          <w:rFonts w:ascii="Times New Roman" w:hAnsi="Times New Roman" w:cs="Times New Roman"/>
          <w:b/>
          <w:lang w:val="en-GB"/>
        </w:rPr>
        <w:t>Q2</w:t>
      </w:r>
      <w:r>
        <w:rPr>
          <w:rFonts w:ascii="Times New Roman" w:hAnsi="Times New Roman" w:cs="Times New Roman"/>
          <w:lang w:val="en-GB"/>
        </w:rPr>
        <w:t xml:space="preserve">: What’s </w:t>
      </w:r>
      <w:r>
        <w:rPr>
          <w:rFonts w:ascii="Times New Roman" w:eastAsia="MS Mincho" w:hAnsi="Times New Roman" w:cs="Times New Roman"/>
          <w:lang w:val="en-GB" w:eastAsia="ja-JP"/>
        </w:rPr>
        <w:t xml:space="preserve">interpretation of </w:t>
      </w:r>
      <w:r>
        <w:rPr>
          <w:rFonts w:ascii="Times New Roman" w:hAnsi="Times New Roman" w:cs="Times New Roman"/>
          <w:lang w:val="en-GB"/>
        </w:rPr>
        <w:t xml:space="preserve">the definition of </w:t>
      </w:r>
      <m:oMath>
        <m:sSub>
          <m:sSubPr>
            <m:ctrlPr>
              <w:rPr>
                <w:rFonts w:ascii="Cambria Math" w:hAnsi="Cambria Math" w:cs="Times New Roman"/>
                <w:bCs/>
                <w:i/>
                <w:lang w:val="en-GB"/>
              </w:rPr>
            </m:ctrlPr>
          </m:sSubPr>
          <m:e>
            <m:r>
              <w:rPr>
                <w:rFonts w:ascii="Cambria Math" w:hAnsi="Cambria Math" w:cs="Times New Roman"/>
                <w:lang w:val="en-GB"/>
              </w:rPr>
              <m:t>K</m:t>
            </m:r>
          </m:e>
          <m:sub>
            <m:r>
              <m:rPr>
                <m:sty m:val="p"/>
              </m:rPr>
              <w:rPr>
                <w:rFonts w:ascii="Cambria Math" w:hAnsi="Cambria Math" w:cs="Times New Roman"/>
                <w:lang w:val="en-GB"/>
              </w:rPr>
              <m:t>PUSCH</m:t>
            </m:r>
          </m:sub>
        </m:sSub>
        <m:r>
          <w:rPr>
            <w:rFonts w:ascii="Cambria Math" w:hAnsi="Cambria Math" w:cs="Times New Roman"/>
            <w:lang w:val="en-GB"/>
          </w:rPr>
          <m:t>(i)</m:t>
        </m:r>
      </m:oMath>
      <w:r>
        <w:rPr>
          <w:rFonts w:ascii="Times New Roman" w:hAnsi="Times New Roman" w:cs="Times New Roman"/>
          <w:lang w:val="en-GB"/>
        </w:rPr>
        <w:t xml:space="preserve"> in TS 38.214? For DG-PUSCH, the definition of </w:t>
      </w:r>
      <m:oMath>
        <m:sSub>
          <m:sSubPr>
            <m:ctrlPr>
              <w:rPr>
                <w:rFonts w:ascii="Cambria Math" w:hAnsi="Cambria Math" w:cs="Times New Roman"/>
                <w:bCs/>
                <w:i/>
                <w:lang w:val="en-GB"/>
              </w:rPr>
            </m:ctrlPr>
          </m:sSubPr>
          <m:e>
            <m:r>
              <w:rPr>
                <w:rFonts w:ascii="Cambria Math" w:hAnsi="Cambria Math" w:cs="Times New Roman"/>
                <w:lang w:val="en-GB"/>
              </w:rPr>
              <m:t>K</m:t>
            </m:r>
          </m:e>
          <m:sub>
            <m:r>
              <m:rPr>
                <m:sty m:val="p"/>
              </m:rPr>
              <w:rPr>
                <w:rFonts w:ascii="Cambria Math" w:hAnsi="Cambria Math" w:cs="Times New Roman"/>
                <w:lang w:val="en-GB"/>
              </w:rPr>
              <m:t>PUSCH</m:t>
            </m:r>
          </m:sub>
        </m:sSub>
        <m:r>
          <w:rPr>
            <w:rFonts w:ascii="Cambria Math" w:hAnsi="Cambria Math" w:cs="Times New Roman"/>
            <w:lang w:val="en-GB"/>
          </w:rPr>
          <m:t>(i)</m:t>
        </m:r>
      </m:oMath>
      <w:r>
        <w:rPr>
          <w:rFonts w:ascii="Times New Roman" w:hAnsi="Times New Roman" w:cs="Times New Roman"/>
          <w:lang w:val="en-GB"/>
        </w:rPr>
        <w:t xml:space="preserve"> in TS 38.214 is as follows: “</w:t>
      </w:r>
      <m:oMath>
        <m:sSub>
          <m:sSubPr>
            <m:ctrlPr>
              <w:rPr>
                <w:rFonts w:ascii="Cambria Math" w:hAnsi="Cambria Math" w:cs="Times New Roman"/>
                <w:bCs/>
                <w:i/>
                <w:lang w:val="en-GB"/>
              </w:rPr>
            </m:ctrlPr>
          </m:sSubPr>
          <m:e>
            <m:r>
              <w:rPr>
                <w:rFonts w:ascii="Cambria Math" w:hAnsi="Cambria Math" w:cs="Times New Roman"/>
                <w:lang w:val="en-GB"/>
              </w:rPr>
              <m:t>K</m:t>
            </m:r>
          </m:e>
          <m:sub>
            <m:r>
              <w:rPr>
                <w:rFonts w:ascii="Cambria Math" w:hAnsi="Cambria Math" w:cs="Times New Roman"/>
                <w:lang w:val="en-GB"/>
              </w:rPr>
              <m:t>PUSCH</m:t>
            </m:r>
          </m:sub>
        </m:sSub>
        <m:r>
          <w:rPr>
            <w:rFonts w:ascii="Cambria Math" w:hAnsi="Cambria Math" w:cs="Times New Roman"/>
            <w:lang w:val="en-GB"/>
          </w:rPr>
          <m:t>(i)</m:t>
        </m:r>
      </m:oMath>
      <w:r>
        <w:rPr>
          <w:rFonts w:ascii="Times New Roman" w:eastAsia="MS Mincho" w:hAnsi="Times New Roman" w:cs="Times New Roman"/>
          <w:bCs/>
          <w:i/>
          <w:lang w:val="en-GB" w:eastAsia="ja-JP"/>
        </w:rPr>
        <w:t xml:space="preserve"> is defined as the number of OFDM symbols after a last symbol of a corresponding PDCCH reception and before a first symbol of the PUSCH transmission</w:t>
      </w:r>
      <w:r>
        <w:rPr>
          <w:rFonts w:ascii="Times New Roman" w:hAnsi="Times New Roman" w:cs="Times New Roman"/>
          <w:bCs/>
          <w:lang w:val="en-GB"/>
        </w:rPr>
        <w:t>”. It seems that companies have different understandings about the above “</w:t>
      </w:r>
      <w:r>
        <w:rPr>
          <w:rFonts w:ascii="Times New Roman" w:eastAsia="MS Mincho" w:hAnsi="Times New Roman" w:cs="Times New Roman"/>
          <w:bCs/>
          <w:lang w:val="en-GB" w:eastAsia="ja-JP"/>
        </w:rPr>
        <w:t>PUSCH transmission</w:t>
      </w:r>
      <w:r>
        <w:rPr>
          <w:rFonts w:ascii="Times New Roman" w:hAnsi="Times New Roman" w:cs="Times New Roman"/>
          <w:bCs/>
          <w:lang w:val="en-GB"/>
        </w:rPr>
        <w:t>”</w:t>
      </w:r>
      <w:r>
        <w:rPr>
          <w:rFonts w:ascii="Times New Roman" w:hAnsi="Times New Roman" w:cs="Times New Roman"/>
          <w:lang w:val="en-GB"/>
        </w:rPr>
        <w:t>. T</w:t>
      </w:r>
      <w:r>
        <w:rPr>
          <w:rFonts w:ascii="Times New Roman" w:eastAsia="MS Mincho" w:hAnsi="Times New Roman" w:cs="Times New Roman"/>
          <w:lang w:val="en-GB" w:eastAsia="ja-JP"/>
        </w:rPr>
        <w:t xml:space="preserve">here are </w:t>
      </w:r>
      <w:r>
        <w:rPr>
          <w:rFonts w:ascii="Times New Roman" w:hAnsi="Times New Roman" w:cs="Times New Roman"/>
          <w:lang w:val="en-GB"/>
        </w:rPr>
        <w:t>two</w:t>
      </w:r>
      <w:r>
        <w:rPr>
          <w:rFonts w:ascii="Times New Roman" w:eastAsia="MS Mincho" w:hAnsi="Times New Roman" w:cs="Times New Roman"/>
          <w:lang w:val="en-GB" w:eastAsia="ja-JP"/>
        </w:rPr>
        <w:t xml:space="preserve"> interpretation</w:t>
      </w:r>
      <w:r>
        <w:rPr>
          <w:rFonts w:ascii="Times New Roman" w:hAnsi="Times New Roman" w:cs="Times New Roman"/>
          <w:lang w:val="en-GB"/>
        </w:rPr>
        <w:t>s as:</w:t>
      </w:r>
    </w:p>
    <w:p w14:paraId="724D9166" w14:textId="77777777" w:rsidR="00137A68" w:rsidRDefault="00137A68" w:rsidP="00137A68">
      <w:pPr>
        <w:ind w:left="567"/>
        <w:rPr>
          <w:rFonts w:ascii="Times New Roman" w:hAnsi="Times New Roman" w:cs="Times New Roman"/>
          <w:bCs/>
          <w:lang w:val="en-GB"/>
        </w:rPr>
      </w:pPr>
      <w:r>
        <w:rPr>
          <w:rFonts w:ascii="Times New Roman" w:eastAsia="MS Mincho" w:hAnsi="Times New Roman" w:cs="Times New Roman"/>
          <w:b/>
          <w:bCs/>
          <w:u w:val="single"/>
          <w:lang w:val="en-GB" w:eastAsia="ja-JP"/>
        </w:rPr>
        <w:t>Interpretation 1:</w:t>
      </w:r>
      <w:r>
        <w:rPr>
          <w:rFonts w:ascii="Times New Roman" w:eastAsia="MS Mincho" w:hAnsi="Times New Roman" w:cs="Times New Roman"/>
          <w:bCs/>
          <w:lang w:val="en-GB" w:eastAsia="ja-JP"/>
        </w:rPr>
        <w:t xml:space="preserve"> </w:t>
      </w:r>
      <m:oMath>
        <m:sSub>
          <m:sSubPr>
            <m:ctrlPr>
              <w:rPr>
                <w:rFonts w:ascii="Cambria Math" w:hAnsi="Cambria Math" w:cs="Times New Roman"/>
                <w:bCs/>
                <w:i/>
                <w:lang w:val="en-GB"/>
              </w:rPr>
            </m:ctrlPr>
          </m:sSubPr>
          <m:e>
            <m:r>
              <w:rPr>
                <w:rFonts w:ascii="Cambria Math" w:hAnsi="Cambria Math" w:cs="Times New Roman"/>
                <w:lang w:val="en-GB"/>
              </w:rPr>
              <m:t>K</m:t>
            </m:r>
          </m:e>
          <m:sub>
            <m:r>
              <m:rPr>
                <m:sty m:val="p"/>
              </m:rPr>
              <w:rPr>
                <w:rFonts w:ascii="Cambria Math" w:hAnsi="Cambria Math" w:cs="Times New Roman"/>
                <w:lang w:val="en-GB"/>
              </w:rPr>
              <m:t>PUSCH</m:t>
            </m:r>
          </m:sub>
        </m:sSub>
        <m:r>
          <w:rPr>
            <w:rFonts w:ascii="Cambria Math" w:hAnsi="Cambria Math" w:cs="Times New Roman"/>
            <w:lang w:val="en-GB"/>
          </w:rPr>
          <m:t>(i)</m:t>
        </m:r>
      </m:oMath>
      <w:r>
        <w:rPr>
          <w:rFonts w:ascii="Times New Roman" w:eastAsia="MS Mincho" w:hAnsi="Times New Roman" w:cs="Times New Roman"/>
          <w:bCs/>
          <w:lang w:val="en-GB" w:eastAsia="ja-JP"/>
        </w:rPr>
        <w:t xml:space="preserve"> is defined as the number of OFDM symbols after a last symbol of a corresponding PDCCH reception and before a first symbol of </w:t>
      </w:r>
      <w:r>
        <w:rPr>
          <w:rFonts w:ascii="Times New Roman" w:eastAsia="MS Mincho" w:hAnsi="Times New Roman" w:cs="Times New Roman"/>
          <w:b/>
          <w:bCs/>
          <w:color w:val="FF0000"/>
          <w:lang w:val="en-GB" w:eastAsia="ja-JP"/>
        </w:rPr>
        <w:t xml:space="preserve">the PUSCH transmission occasion </w:t>
      </w:r>
      <w:r>
        <w:rPr>
          <w:rFonts w:ascii="Times New Roman" w:eastAsia="MS Mincho" w:hAnsi="Times New Roman" w:cs="Times New Roman"/>
          <w:b/>
          <w:bCs/>
          <w:i/>
          <w:color w:val="FF0000"/>
          <w:lang w:val="en-GB" w:eastAsia="ja-JP"/>
        </w:rPr>
        <w:t>i</w:t>
      </w:r>
      <w:r>
        <w:rPr>
          <w:rFonts w:ascii="Times New Roman" w:eastAsia="MS Mincho" w:hAnsi="Times New Roman" w:cs="Times New Roman"/>
          <w:bCs/>
          <w:lang w:val="en-GB" w:eastAsia="ja-JP"/>
        </w:rPr>
        <w:t xml:space="preserve">. With this interpretation, value of </w:t>
      </w:r>
      <m:oMath>
        <m:sSub>
          <m:sSubPr>
            <m:ctrlPr>
              <w:rPr>
                <w:rFonts w:ascii="Cambria Math" w:hAnsi="Cambria Math" w:cs="Times New Roman"/>
                <w:bCs/>
                <w:i/>
                <w:lang w:val="en-GB"/>
              </w:rPr>
            </m:ctrlPr>
          </m:sSubPr>
          <m:e>
            <m:r>
              <w:rPr>
                <w:rFonts w:ascii="Cambria Math" w:hAnsi="Cambria Math" w:cs="Times New Roman"/>
                <w:lang w:val="en-GB"/>
              </w:rPr>
              <m:t>K</m:t>
            </m:r>
          </m:e>
          <m:sub>
            <m:r>
              <m:rPr>
                <m:sty m:val="p"/>
              </m:rPr>
              <w:rPr>
                <w:rFonts w:ascii="Cambria Math" w:hAnsi="Cambria Math" w:cs="Times New Roman"/>
                <w:lang w:val="en-GB"/>
              </w:rPr>
              <m:t>PUSCH</m:t>
            </m:r>
          </m:sub>
        </m:sSub>
        <m:r>
          <w:rPr>
            <w:rFonts w:ascii="Cambria Math" w:hAnsi="Cambria Math" w:cs="Times New Roman"/>
            <w:lang w:val="en-GB"/>
          </w:rPr>
          <m:t>(i)</m:t>
        </m:r>
      </m:oMath>
      <w:r>
        <w:rPr>
          <w:rFonts w:ascii="Times New Roman" w:eastAsia="MS Mincho" w:hAnsi="Times New Roman" w:cs="Times New Roman"/>
          <w:bCs/>
          <w:lang w:val="en-GB" w:eastAsia="ja-JP"/>
        </w:rPr>
        <w:t xml:space="preserve"> for a PUSCH transmission occasion is different </w:t>
      </w:r>
      <w:r>
        <w:rPr>
          <w:rFonts w:ascii="Times New Roman" w:eastAsia="MS Mincho" w:hAnsi="Times New Roman" w:cs="Times New Roman"/>
          <w:bCs/>
          <w:lang w:val="en-GB" w:eastAsia="ja-JP"/>
        </w:rPr>
        <w:lastRenderedPageBreak/>
        <w:t>from the one for another PUSCH transmission occasion among the same set of PUSCH repetitions for a TB.</w:t>
      </w:r>
    </w:p>
    <w:p w14:paraId="24CFDB10" w14:textId="77777777" w:rsidR="00137A68" w:rsidRDefault="00137A68" w:rsidP="00137A68">
      <w:pPr>
        <w:ind w:left="567"/>
        <w:jc w:val="center"/>
        <w:rPr>
          <w:rFonts w:ascii="Times New Roman" w:hAnsi="Times New Roman" w:cs="Times New Roman"/>
        </w:rPr>
      </w:pPr>
      <w:r>
        <w:rPr>
          <w:rFonts w:ascii="Times New Roman" w:hAnsi="Times New Roman" w:cs="Times New Roman"/>
        </w:rPr>
        <w:object w:dxaOrig="8367" w:dyaOrig="2444" w14:anchorId="26DA2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22.4pt" o:ole="">
            <v:imagedata r:id="rId14" o:title=""/>
          </v:shape>
          <o:OLEObject Type="Embed" ProgID="Visio.Drawing.11" ShapeID="_x0000_i1025" DrawAspect="Content" ObjectID="_1706368528" r:id="rId15"/>
        </w:object>
      </w:r>
    </w:p>
    <w:p w14:paraId="5513AE22" w14:textId="77777777" w:rsidR="00137A68" w:rsidRDefault="00137A68" w:rsidP="00137A68">
      <w:pPr>
        <w:ind w:left="567"/>
        <w:jc w:val="center"/>
        <w:rPr>
          <w:rFonts w:ascii="Times New Roman" w:hAnsi="Times New Roman" w:cs="Times New Roman"/>
        </w:rPr>
      </w:pPr>
      <w:r>
        <w:rPr>
          <w:rFonts w:ascii="Times New Roman" w:hAnsi="Times New Roman" w:cs="Times New Roman"/>
        </w:rPr>
        <w:t>Fig. Illustration of legacy power control</w:t>
      </w:r>
      <w:r>
        <w:rPr>
          <w:rFonts w:ascii="Times New Roman" w:hAnsi="Times New Roman" w:cs="Times New Roman" w:hint="eastAsia"/>
        </w:rPr>
        <w:t xml:space="preserve"> </w:t>
      </w:r>
      <w:r>
        <w:rPr>
          <w:rFonts w:ascii="Times New Roman" w:hAnsi="Times New Roman" w:cs="Times New Roman"/>
        </w:rPr>
        <w:t>procedure for DG</w:t>
      </w:r>
      <w:r>
        <w:rPr>
          <w:rFonts w:ascii="Times New Roman" w:hAnsi="Times New Roman" w:cs="Times New Roman" w:hint="eastAsia"/>
        </w:rPr>
        <w:t>-</w:t>
      </w:r>
      <w:r>
        <w:rPr>
          <w:rFonts w:ascii="Times New Roman" w:hAnsi="Times New Roman" w:cs="Times New Roman"/>
        </w:rPr>
        <w:t>PUSCH</w:t>
      </w:r>
      <w:r>
        <w:rPr>
          <w:rFonts w:ascii="Times New Roman" w:hAnsi="Times New Roman" w:cs="Times New Roman" w:hint="eastAsia"/>
        </w:rPr>
        <w:t xml:space="preserve"> (</w:t>
      </w:r>
      <w:r>
        <w:rPr>
          <w:rFonts w:ascii="Times New Roman" w:hAnsi="Times New Roman" w:cs="Times New Roman"/>
          <w:b/>
        </w:rPr>
        <w:t xml:space="preserve">Interpretation </w:t>
      </w:r>
      <w:r>
        <w:rPr>
          <w:rFonts w:ascii="Times New Roman" w:hAnsi="Times New Roman" w:cs="Times New Roman" w:hint="eastAsia"/>
          <w:b/>
        </w:rPr>
        <w:t>1</w:t>
      </w:r>
      <w:r>
        <w:rPr>
          <w:rFonts w:ascii="Times New Roman" w:hAnsi="Times New Roman" w:cs="Times New Roman" w:hint="eastAsia"/>
        </w:rPr>
        <w:t>)</w:t>
      </w:r>
    </w:p>
    <w:p w14:paraId="6F0C2677" w14:textId="77777777" w:rsidR="00137A68" w:rsidRDefault="00137A68" w:rsidP="00137A68">
      <w:pPr>
        <w:ind w:left="567"/>
        <w:rPr>
          <w:rFonts w:ascii="Times New Roman" w:hAnsi="Times New Roman" w:cs="Times New Roman"/>
          <w:bCs/>
          <w:lang w:val="en-GB"/>
        </w:rPr>
      </w:pPr>
      <w:r>
        <w:rPr>
          <w:rFonts w:ascii="Times New Roman" w:eastAsia="MS Mincho" w:hAnsi="Times New Roman" w:cs="Times New Roman"/>
          <w:b/>
          <w:bCs/>
          <w:u w:val="single"/>
          <w:lang w:val="en-GB" w:eastAsia="ja-JP"/>
        </w:rPr>
        <w:t>Interpretation 2:</w:t>
      </w:r>
      <w:r>
        <w:rPr>
          <w:rFonts w:ascii="Times New Roman" w:eastAsia="MS Mincho" w:hAnsi="Times New Roman" w:cs="Times New Roman"/>
          <w:bCs/>
          <w:lang w:val="en-GB" w:eastAsia="ja-JP"/>
        </w:rPr>
        <w:t xml:space="preserve"> </w:t>
      </w:r>
      <m:oMath>
        <m:sSub>
          <m:sSubPr>
            <m:ctrlPr>
              <w:rPr>
                <w:rFonts w:ascii="Cambria Math" w:hAnsi="Cambria Math" w:cs="Times New Roman"/>
                <w:bCs/>
                <w:i/>
                <w:lang w:val="en-GB"/>
              </w:rPr>
            </m:ctrlPr>
          </m:sSubPr>
          <m:e>
            <m:r>
              <w:rPr>
                <w:rFonts w:ascii="Cambria Math" w:hAnsi="Cambria Math" w:cs="Times New Roman"/>
                <w:lang w:val="en-GB"/>
              </w:rPr>
              <m:t>K</m:t>
            </m:r>
          </m:e>
          <m:sub>
            <m:r>
              <m:rPr>
                <m:sty m:val="p"/>
              </m:rPr>
              <w:rPr>
                <w:rFonts w:ascii="Cambria Math" w:hAnsi="Cambria Math" w:cs="Times New Roman"/>
                <w:lang w:val="en-GB"/>
              </w:rPr>
              <m:t>PUSCH</m:t>
            </m:r>
          </m:sub>
        </m:sSub>
        <m:r>
          <w:rPr>
            <w:rFonts w:ascii="Cambria Math" w:hAnsi="Cambria Math" w:cs="Times New Roman"/>
            <w:lang w:val="en-GB"/>
          </w:rPr>
          <m:t>(i)</m:t>
        </m:r>
      </m:oMath>
      <w:r>
        <w:rPr>
          <w:rFonts w:ascii="Times New Roman" w:eastAsia="MS Mincho" w:hAnsi="Times New Roman" w:cs="Times New Roman"/>
          <w:bCs/>
          <w:lang w:val="en-GB" w:eastAsia="ja-JP"/>
        </w:rPr>
        <w:t xml:space="preserve"> is defined as the number of OFDM symbols after a last symbol of a corresponding PDCCH reception and before a first symbol of </w:t>
      </w:r>
      <w:r>
        <w:rPr>
          <w:rFonts w:ascii="Times New Roman" w:eastAsia="MS Mincho" w:hAnsi="Times New Roman" w:cs="Times New Roman"/>
          <w:b/>
          <w:bCs/>
          <w:color w:val="FF0000"/>
          <w:lang w:val="en-GB" w:eastAsia="ja-JP"/>
        </w:rPr>
        <w:t>the</w:t>
      </w:r>
      <w:r>
        <w:rPr>
          <w:rFonts w:ascii="Times New Roman" w:hAnsi="Times New Roman" w:cs="Times New Roman"/>
          <w:b/>
          <w:bCs/>
          <w:color w:val="FF0000"/>
          <w:lang w:val="en-GB"/>
        </w:rPr>
        <w:t xml:space="preserve"> </w:t>
      </w:r>
      <w:r>
        <w:rPr>
          <w:rFonts w:ascii="Times New Roman" w:eastAsia="MS Mincho" w:hAnsi="Times New Roman" w:cs="Times New Roman"/>
          <w:b/>
          <w:bCs/>
          <w:color w:val="FF0000"/>
          <w:lang w:val="en-GB" w:eastAsia="ja-JP"/>
        </w:rPr>
        <w:t>first PUSCH repetition for a TB</w:t>
      </w:r>
      <w:r>
        <w:rPr>
          <w:rFonts w:ascii="Times New Roman" w:eastAsia="MS Mincho" w:hAnsi="Times New Roman" w:cs="Times New Roman"/>
          <w:bCs/>
          <w:lang w:val="en-GB" w:eastAsia="ja-JP"/>
        </w:rPr>
        <w:t xml:space="preserve">. With this interpretation, value of </w:t>
      </w:r>
      <m:oMath>
        <m:sSub>
          <m:sSubPr>
            <m:ctrlPr>
              <w:rPr>
                <w:rFonts w:ascii="Cambria Math" w:hAnsi="Cambria Math" w:cs="Times New Roman"/>
                <w:bCs/>
                <w:i/>
                <w:lang w:val="en-GB"/>
              </w:rPr>
            </m:ctrlPr>
          </m:sSubPr>
          <m:e>
            <m:r>
              <w:rPr>
                <w:rFonts w:ascii="Cambria Math" w:hAnsi="Cambria Math" w:cs="Times New Roman"/>
                <w:lang w:val="en-GB"/>
              </w:rPr>
              <m:t>K</m:t>
            </m:r>
          </m:e>
          <m:sub>
            <m:r>
              <m:rPr>
                <m:sty m:val="p"/>
              </m:rPr>
              <w:rPr>
                <w:rFonts w:ascii="Cambria Math" w:hAnsi="Cambria Math" w:cs="Times New Roman"/>
                <w:lang w:val="en-GB"/>
              </w:rPr>
              <m:t>PUSCH</m:t>
            </m:r>
          </m:sub>
        </m:sSub>
        <m:r>
          <w:rPr>
            <w:rFonts w:ascii="Cambria Math" w:hAnsi="Cambria Math" w:cs="Times New Roman"/>
            <w:lang w:val="en-GB"/>
          </w:rPr>
          <m:t>(i)</m:t>
        </m:r>
      </m:oMath>
      <w:r>
        <w:rPr>
          <w:rFonts w:ascii="Times New Roman" w:eastAsia="MS Mincho" w:hAnsi="Times New Roman" w:cs="Times New Roman"/>
          <w:bCs/>
          <w:lang w:val="en-GB" w:eastAsia="ja-JP"/>
        </w:rPr>
        <w:t xml:space="preserve"> for all PUSCH transmission occasions are the s</w:t>
      </w:r>
      <w:proofErr w:type="spellStart"/>
      <w:r>
        <w:rPr>
          <w:rFonts w:ascii="Times New Roman" w:eastAsia="MS Mincho" w:hAnsi="Times New Roman" w:cs="Times New Roman"/>
          <w:bCs/>
          <w:lang w:val="en-GB" w:eastAsia="ja-JP"/>
        </w:rPr>
        <w:t>ame</w:t>
      </w:r>
      <w:proofErr w:type="spellEnd"/>
      <w:r>
        <w:rPr>
          <w:rFonts w:ascii="Times New Roman" w:eastAsia="MS Mincho" w:hAnsi="Times New Roman" w:cs="Times New Roman"/>
          <w:bCs/>
          <w:lang w:val="en-GB" w:eastAsia="ja-JP"/>
        </w:rPr>
        <w:t xml:space="preserve"> for the TB.</w:t>
      </w:r>
    </w:p>
    <w:p w14:paraId="402C9473" w14:textId="77777777" w:rsidR="00137A68" w:rsidRDefault="00137A68" w:rsidP="00137A68">
      <w:pPr>
        <w:ind w:left="567"/>
        <w:jc w:val="center"/>
        <w:rPr>
          <w:rFonts w:ascii="Times New Roman" w:hAnsi="Times New Roman" w:cs="Times New Roman"/>
        </w:rPr>
      </w:pPr>
      <w:r>
        <w:rPr>
          <w:rFonts w:ascii="Times New Roman" w:hAnsi="Times New Roman" w:cs="Times New Roman"/>
        </w:rPr>
        <w:object w:dxaOrig="8193" w:dyaOrig="2171" w14:anchorId="1B32A7BE">
          <v:shape id="_x0000_i1026" type="#_x0000_t75" style="width:409.8pt;height:108.6pt" o:ole="">
            <v:imagedata r:id="rId16" o:title=""/>
          </v:shape>
          <o:OLEObject Type="Embed" ProgID="Visio.Drawing.11" ShapeID="_x0000_i1026" DrawAspect="Content" ObjectID="_1706368529" r:id="rId17"/>
        </w:object>
      </w:r>
    </w:p>
    <w:p w14:paraId="0947C4F1" w14:textId="77777777" w:rsidR="00137A68" w:rsidRDefault="00137A68" w:rsidP="00137A68">
      <w:pPr>
        <w:ind w:left="567"/>
        <w:jc w:val="center"/>
        <w:rPr>
          <w:rFonts w:ascii="Times New Roman" w:hAnsi="Times New Roman" w:cs="Times New Roman"/>
        </w:rPr>
      </w:pPr>
      <w:r>
        <w:rPr>
          <w:rFonts w:ascii="Times New Roman" w:hAnsi="Times New Roman" w:cs="Times New Roman"/>
        </w:rPr>
        <w:t>Fig. Illustration of legacy power control</w:t>
      </w:r>
      <w:r>
        <w:rPr>
          <w:rFonts w:ascii="Times New Roman" w:hAnsi="Times New Roman" w:cs="Times New Roman" w:hint="eastAsia"/>
        </w:rPr>
        <w:t xml:space="preserve"> </w:t>
      </w:r>
      <w:r>
        <w:rPr>
          <w:rFonts w:ascii="Times New Roman" w:hAnsi="Times New Roman" w:cs="Times New Roman"/>
        </w:rPr>
        <w:t>procedure for DG</w:t>
      </w:r>
      <w:r>
        <w:rPr>
          <w:rFonts w:ascii="Times New Roman" w:hAnsi="Times New Roman" w:cs="Times New Roman" w:hint="eastAsia"/>
        </w:rPr>
        <w:t>-</w:t>
      </w:r>
      <w:r>
        <w:rPr>
          <w:rFonts w:ascii="Times New Roman" w:hAnsi="Times New Roman" w:cs="Times New Roman"/>
        </w:rPr>
        <w:t>PUSCH</w:t>
      </w:r>
      <w:r>
        <w:rPr>
          <w:rFonts w:ascii="Times New Roman" w:hAnsi="Times New Roman" w:cs="Times New Roman" w:hint="eastAsia"/>
        </w:rPr>
        <w:t xml:space="preserve"> (</w:t>
      </w:r>
      <w:r>
        <w:rPr>
          <w:rFonts w:ascii="Times New Roman" w:hAnsi="Times New Roman" w:cs="Times New Roman"/>
          <w:b/>
        </w:rPr>
        <w:t xml:space="preserve">Interpretation </w:t>
      </w:r>
      <w:r>
        <w:rPr>
          <w:rFonts w:ascii="Times New Roman" w:hAnsi="Times New Roman" w:cs="Times New Roman" w:hint="eastAsia"/>
          <w:b/>
        </w:rPr>
        <w:t>2</w:t>
      </w:r>
      <w:r>
        <w:rPr>
          <w:rFonts w:ascii="Times New Roman" w:hAnsi="Times New Roman" w:cs="Times New Roman" w:hint="eastAsia"/>
        </w:rPr>
        <w:t>)</w:t>
      </w:r>
    </w:p>
    <w:p w14:paraId="028D7914" w14:textId="6EB47155" w:rsidR="00137A68" w:rsidRDefault="00B63C78" w:rsidP="00137A68">
      <w:pPr>
        <w:rPr>
          <w:lang w:val="en-GB"/>
        </w:rPr>
      </w:pPr>
      <w:r>
        <w:rPr>
          <w:lang w:val="en-GB"/>
        </w:rPr>
        <w:t>The question to be addressed in our view is why ‘PUSCH transmission’ is used instead of “PUSCH transmission occasion”.  T</w:t>
      </w:r>
      <w:r w:rsidR="008B199C">
        <w:rPr>
          <w:lang w:val="en-GB"/>
        </w:rPr>
        <w:t>he full phrase from 38.213 quoted above</w:t>
      </w:r>
      <w:r>
        <w:rPr>
          <w:lang w:val="en-GB"/>
        </w:rPr>
        <w:t xml:space="preserve"> identifies the PUSCH transmission as one being scheduled by DCI:</w:t>
      </w:r>
    </w:p>
    <w:p w14:paraId="355E7D42" w14:textId="2DE26B80" w:rsidR="008B199C" w:rsidRPr="00946E0D" w:rsidRDefault="008B199C" w:rsidP="00F71037">
      <w:pPr>
        <w:pStyle w:val="ListParagraph"/>
        <w:numPr>
          <w:ilvl w:val="0"/>
          <w:numId w:val="133"/>
        </w:numPr>
        <w:rPr>
          <w:lang w:val="en-GB"/>
        </w:rPr>
      </w:pPr>
      <w:r w:rsidRPr="00F71037">
        <w:rPr>
          <w:rFonts w:ascii="Times New Roman" w:hAnsi="Times New Roman" w:cs="Times New Roman"/>
          <w:sz w:val="20"/>
          <w:szCs w:val="20"/>
          <w:lang w:val="en-GB"/>
        </w:rPr>
        <w:t xml:space="preserve">If a PUSCH transmission is scheduled by a DCI format, </w:t>
      </w:r>
      <m:oMath>
        <m:sSub>
          <m:sSubPr>
            <m:ctrlPr>
              <w:rPr>
                <w:rFonts w:ascii="Cambria Math" w:hAnsi="Cambria Math" w:cs="Times New Roman"/>
                <w:iCs/>
                <w:sz w:val="20"/>
                <w:szCs w:val="20"/>
                <w:lang w:val="en-GB"/>
              </w:rPr>
            </m:ctrlPr>
          </m:sSubPr>
          <m:e>
            <m:r>
              <w:rPr>
                <w:rFonts w:ascii="Cambria Math" w:hAnsi="Cambria Math" w:cs="Times New Roman"/>
                <w:sz w:val="20"/>
                <w:szCs w:val="20"/>
                <w:lang w:val="en-GB"/>
              </w:rPr>
              <m:t>K</m:t>
            </m:r>
          </m:e>
          <m:sub>
            <m:r>
              <m:rPr>
                <m:sty m:val="p"/>
              </m:rPr>
              <w:rPr>
                <w:rFonts w:ascii="Cambria Math" w:hAnsi="Times New Roman" w:cs="Times New Roman"/>
                <w:sz w:val="20"/>
                <w:szCs w:val="20"/>
                <w:lang w:val="en-GB"/>
              </w:rPr>
              <m:t>PUSCH</m:t>
            </m:r>
          </m:sub>
        </m:sSub>
        <m:r>
          <w:rPr>
            <w:rFonts w:ascii="Cambria Math" w:hAnsi="Cambria Math" w:cs="Times New Roman"/>
            <w:sz w:val="20"/>
            <w:szCs w:val="20"/>
            <w:lang w:val="en-GB"/>
          </w:rPr>
          <m:t>(i)</m:t>
        </m:r>
      </m:oMath>
      <w:r w:rsidRPr="00F71037">
        <w:rPr>
          <w:rFonts w:ascii="Times New Roman" w:hAnsi="Times New Roman" w:cs="Times New Roman"/>
          <w:sz w:val="20"/>
          <w:szCs w:val="20"/>
          <w:lang w:val="en-GB"/>
        </w:rPr>
        <w:t xml:space="preserve"> is a number of symbols for active </w:t>
      </w:r>
      <w:r w:rsidRPr="00F71037">
        <w:rPr>
          <w:rFonts w:ascii="Times New Roman" w:hAnsi="Times New Roman" w:cs="Times New Roman"/>
          <w:sz w:val="20"/>
          <w:szCs w:val="20"/>
        </w:rPr>
        <w:t xml:space="preserve">UL BWP </w:t>
      </w:r>
      <m:oMath>
        <m:r>
          <w:rPr>
            <w:rFonts w:ascii="Cambria Math" w:hAnsi="Cambria Math" w:cs="Times New Roman"/>
            <w:sz w:val="20"/>
            <w:szCs w:val="20"/>
            <w:lang w:val="en-GB"/>
          </w:rPr>
          <m:t>b</m:t>
        </m:r>
      </m:oMath>
      <w:r w:rsidRPr="00F71037">
        <w:rPr>
          <w:rFonts w:ascii="Times New Roman" w:hAnsi="Times New Roman" w:cs="Times New Roman"/>
          <w:iCs/>
          <w:sz w:val="20"/>
          <w:szCs w:val="20"/>
        </w:rPr>
        <w:t xml:space="preserve"> </w:t>
      </w:r>
      <w:r w:rsidRPr="00F71037">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F71037">
        <w:rPr>
          <w:rFonts w:ascii="Times New Roman" w:hAnsi="Times New Roman" w:cs="Times New Roman"/>
          <w:iCs/>
          <w:sz w:val="20"/>
          <w:szCs w:val="20"/>
        </w:rPr>
        <w:t xml:space="preserve"> of</w:t>
      </w:r>
      <w:r w:rsidRPr="00F71037">
        <w:rPr>
          <w:rFonts w:ascii="Times New Roman" w:hAnsi="Times New Roman" w:cs="Times New Roman"/>
          <w:sz w:val="20"/>
          <w:szCs w:val="20"/>
          <w:lang w:val="en-GB"/>
        </w:rPr>
        <w:t xml:space="preserve"> serving cell </w:t>
      </w:r>
      <m:oMath>
        <m:r>
          <w:rPr>
            <w:rFonts w:ascii="Cambria Math" w:hAnsi="Cambria Math" w:cs="Times New Roman"/>
            <w:sz w:val="20"/>
            <w:szCs w:val="20"/>
            <w:lang w:val="en-GB"/>
          </w:rPr>
          <m:t>c</m:t>
        </m:r>
      </m:oMath>
      <w:r w:rsidRPr="00F71037">
        <w:rPr>
          <w:rFonts w:ascii="Times New Roman" w:hAnsi="Times New Roman" w:cs="Times New Roman"/>
          <w:sz w:val="20"/>
          <w:szCs w:val="20"/>
          <w:lang w:val="en-GB"/>
        </w:rPr>
        <w:t xml:space="preserve"> after a last symbol of a corresponding PDCCH reception and before a first symbol of the PUSCH transmission</w:t>
      </w:r>
    </w:p>
    <w:p w14:paraId="7668A04A" w14:textId="3C0C5EC2" w:rsidR="00137A68" w:rsidRDefault="00B63C78" w:rsidP="008F40CC">
      <w:pPr>
        <w:rPr>
          <w:lang w:val="en-GB"/>
        </w:rPr>
      </w:pPr>
      <w:r>
        <w:rPr>
          <w:lang w:val="en-GB"/>
        </w:rPr>
        <w:t xml:space="preserve">Therefore, ‘the PUSCH transmission’ </w:t>
      </w:r>
      <w:r w:rsidR="009972F2">
        <w:rPr>
          <w:lang w:val="en-GB"/>
        </w:rPr>
        <w:t xml:space="preserve">is any PUSCH transmission scheduled by DCI in this context.  Given the definition of transmission occasion below from 38.213, our understanding is that a transmission occasion is a unit of time, not the transmission in the unit of time.  Therefore, the term PUSCH </w:t>
      </w:r>
      <w:r w:rsidR="00696DB1">
        <w:rPr>
          <w:lang w:val="en-GB"/>
        </w:rPr>
        <w:t>‘</w:t>
      </w:r>
      <w:r w:rsidR="009972F2">
        <w:rPr>
          <w:lang w:val="en-GB"/>
        </w:rPr>
        <w:t>transmission</w:t>
      </w:r>
      <w:r w:rsidR="00696DB1">
        <w:rPr>
          <w:lang w:val="en-GB"/>
        </w:rPr>
        <w:t>’</w:t>
      </w:r>
      <w:r w:rsidR="009972F2">
        <w:rPr>
          <w:lang w:val="en-GB"/>
        </w:rPr>
        <w:t xml:space="preserve"> is used instead of </w:t>
      </w:r>
      <w:r w:rsidR="00696DB1">
        <w:rPr>
          <w:lang w:val="en-GB"/>
        </w:rPr>
        <w:t>‘</w:t>
      </w:r>
      <w:r w:rsidR="009972F2">
        <w:rPr>
          <w:lang w:val="en-GB"/>
        </w:rPr>
        <w:t>transmission occasion</w:t>
      </w:r>
      <w:r w:rsidR="00696DB1">
        <w:rPr>
          <w:lang w:val="en-GB"/>
        </w:rPr>
        <w:t>’</w:t>
      </w:r>
      <w:r w:rsidR="009972F2">
        <w:rPr>
          <w:lang w:val="en-GB"/>
        </w:rPr>
        <w:t>, since DCI schedules the transmission not the transmission occasion.</w:t>
      </w:r>
    </w:p>
    <w:p w14:paraId="54B1D436" w14:textId="77777777" w:rsidR="009972F2" w:rsidRPr="009972F2" w:rsidRDefault="009972F2" w:rsidP="00F71037">
      <w:pPr>
        <w:spacing w:after="180" w:line="240" w:lineRule="auto"/>
        <w:ind w:left="567"/>
        <w:rPr>
          <w:rFonts w:ascii="Times New Roman" w:eastAsia="SimSun" w:hAnsi="Times New Roman" w:cs="Times New Roman"/>
          <w:sz w:val="20"/>
          <w:szCs w:val="20"/>
          <w:lang w:val="en-GB"/>
        </w:rPr>
      </w:pPr>
      <w:r w:rsidRPr="009972F2">
        <w:rPr>
          <w:rFonts w:ascii="Times New Roman" w:eastAsia="SimSun" w:hAnsi="Times New Roman" w:cs="Times New Roman"/>
          <w:iCs/>
          <w:sz w:val="20"/>
          <w:szCs w:val="20"/>
          <w:lang w:val="en-GB"/>
        </w:rPr>
        <w:t xml:space="preserve">A PUSCH/PUCCH/SRS/PRACH </w:t>
      </w:r>
      <w:r w:rsidRPr="00F71037">
        <w:rPr>
          <w:rFonts w:ascii="Times New Roman" w:eastAsia="SimSun" w:hAnsi="Times New Roman" w:cs="Times New Roman"/>
          <w:iCs/>
          <w:sz w:val="20"/>
          <w:szCs w:val="20"/>
          <w:highlight w:val="yellow"/>
          <w:lang w:val="en-GB"/>
        </w:rPr>
        <w:t xml:space="preserve">transmission occasion </w:t>
      </w:r>
      <m:oMath>
        <m:r>
          <w:rPr>
            <w:rFonts w:ascii="Cambria Math" w:eastAsia="SimSun" w:hAnsi="Cambria Math" w:cs="Times New Roman"/>
            <w:sz w:val="20"/>
            <w:szCs w:val="20"/>
            <w:highlight w:val="yellow"/>
            <w:lang w:val="en-GB"/>
          </w:rPr>
          <m:t>i</m:t>
        </m:r>
      </m:oMath>
      <w:r w:rsidRPr="00F71037">
        <w:rPr>
          <w:rFonts w:ascii="Times New Roman" w:eastAsia="SimSun" w:hAnsi="Times New Roman" w:cs="Times New Roman"/>
          <w:iCs/>
          <w:sz w:val="20"/>
          <w:szCs w:val="20"/>
          <w:highlight w:val="yellow"/>
          <w:lang w:val="en-GB"/>
        </w:rPr>
        <w:t xml:space="preserve"> is defined by a </w:t>
      </w:r>
      <w:r w:rsidRPr="00F71037">
        <w:rPr>
          <w:rFonts w:ascii="Times New Roman" w:eastAsia="SimSun" w:hAnsi="Times New Roman" w:cs="Times New Roman"/>
          <w:sz w:val="20"/>
          <w:szCs w:val="20"/>
          <w:highlight w:val="yellow"/>
          <w:lang w:val="en-GB"/>
        </w:rPr>
        <w:t xml:space="preserve">slot index </w:t>
      </w:r>
      <m:oMath>
        <m:sSubSup>
          <m:sSubSupPr>
            <m:ctrlPr>
              <w:rPr>
                <w:rFonts w:ascii="Cambria Math" w:eastAsia="SimSun" w:hAnsi="Cambria Math" w:cs="Times New Roman"/>
                <w:i/>
                <w:sz w:val="20"/>
                <w:szCs w:val="20"/>
                <w:highlight w:val="yellow"/>
                <w:lang w:val="en-GB"/>
              </w:rPr>
            </m:ctrlPr>
          </m:sSubSupPr>
          <m:e>
            <m:r>
              <w:rPr>
                <w:rFonts w:ascii="Cambria Math" w:eastAsia="SimSun" w:hAnsi="Cambria Math" w:cs="Times New Roman"/>
                <w:sz w:val="20"/>
                <w:szCs w:val="20"/>
                <w:highlight w:val="yellow"/>
                <w:lang w:val="en-GB"/>
              </w:rPr>
              <m:t>n</m:t>
            </m:r>
          </m:e>
          <m:sub>
            <m:r>
              <w:rPr>
                <w:rFonts w:ascii="Cambria Math" w:eastAsia="SimSun" w:hAnsi="Cambria Math" w:cs="Times New Roman"/>
                <w:sz w:val="20"/>
                <w:szCs w:val="20"/>
                <w:highlight w:val="yellow"/>
                <w:lang w:val="en-GB"/>
              </w:rPr>
              <m:t>s,f</m:t>
            </m:r>
          </m:sub>
          <m:sup>
            <m:r>
              <w:rPr>
                <w:rFonts w:ascii="Cambria Math" w:eastAsia="SimSun" w:hAnsi="Cambria Math" w:cs="Times New Roman"/>
                <w:sz w:val="20"/>
                <w:szCs w:val="20"/>
                <w:highlight w:val="yellow"/>
                <w:lang w:val="en-GB"/>
              </w:rPr>
              <m:t>μ</m:t>
            </m:r>
          </m:sup>
        </m:sSubSup>
      </m:oMath>
      <w:r w:rsidRPr="009972F2">
        <w:rPr>
          <w:rFonts w:ascii="Times New Roman" w:eastAsia="SimSun" w:hAnsi="Times New Roman" w:cs="Times New Roman"/>
          <w:sz w:val="20"/>
          <w:szCs w:val="20"/>
          <w:lang w:val="en-GB"/>
        </w:rPr>
        <w:t xml:space="preserve"> within a frame with system frame number </w:t>
      </w:r>
      <m:oMath>
        <m:r>
          <w:rPr>
            <w:rFonts w:ascii="Cambria Math" w:eastAsia="SimSun" w:hAnsi="Cambria Math" w:cs="Times New Roman"/>
            <w:sz w:val="20"/>
            <w:szCs w:val="20"/>
            <w:lang w:val="en-GB"/>
          </w:rPr>
          <m:t>SFN</m:t>
        </m:r>
      </m:oMath>
      <w:r w:rsidRPr="009972F2">
        <w:rPr>
          <w:rFonts w:ascii="Times New Roman" w:eastAsia="SimSun" w:hAnsi="Times New Roman" w:cs="Times New Roman"/>
          <w:sz w:val="20"/>
          <w:szCs w:val="20"/>
          <w:lang w:val="en-GB"/>
        </w:rPr>
        <w:t xml:space="preserve">, a first symbol </w:t>
      </w:r>
      <m:oMath>
        <m:r>
          <w:rPr>
            <w:rFonts w:ascii="Cambria Math" w:eastAsia="SimSun" w:hAnsi="Cambria Math" w:cs="Times New Roman"/>
            <w:sz w:val="20"/>
            <w:szCs w:val="20"/>
            <w:lang w:val="en-GB"/>
          </w:rPr>
          <m:t>S</m:t>
        </m:r>
      </m:oMath>
      <w:r w:rsidRPr="009972F2">
        <w:rPr>
          <w:rFonts w:ascii="Times New Roman" w:eastAsia="SimSun" w:hAnsi="Times New Roman" w:cs="Times New Roman"/>
          <w:sz w:val="20"/>
          <w:szCs w:val="20"/>
          <w:lang w:val="en-GB"/>
        </w:rPr>
        <w:t xml:space="preserve"> within the slot, and a number of consecutive symbols </w:t>
      </w:r>
      <m:oMath>
        <m:r>
          <w:rPr>
            <w:rFonts w:ascii="Cambria Math" w:eastAsia="SimSun" w:hAnsi="Cambria Math" w:cs="Times New Roman"/>
            <w:sz w:val="20"/>
            <w:szCs w:val="20"/>
            <w:lang w:val="en-GB"/>
          </w:rPr>
          <m:t>L</m:t>
        </m:r>
      </m:oMath>
      <w:r w:rsidRPr="009972F2">
        <w:rPr>
          <w:rFonts w:ascii="Times New Roman" w:eastAsia="SimSun" w:hAnsi="Times New Roman" w:cs="Times New Roman"/>
          <w:sz w:val="20"/>
          <w:szCs w:val="20"/>
          <w:lang w:val="en-GB"/>
        </w:rPr>
        <w:t>. For a PUSCH transmission with repetition Type B, a PUSCH transmission occasion is a nominal repetition [6, TS 38.214].</w:t>
      </w:r>
    </w:p>
    <w:p w14:paraId="27230A27" w14:textId="496B68E8" w:rsidR="00250B54" w:rsidRDefault="008C2945" w:rsidP="008F40CC">
      <w:pPr>
        <w:rPr>
          <w:lang w:val="en-GB"/>
        </w:rPr>
      </w:pPr>
      <w:r>
        <w:rPr>
          <w:lang w:val="en-GB"/>
        </w:rPr>
        <w:lastRenderedPageBreak/>
        <w:t>I</w:t>
      </w:r>
      <w:r w:rsidR="00DB3CA1">
        <w:rPr>
          <w:lang w:val="en-GB"/>
        </w:rPr>
        <w:t xml:space="preserve">t was </w:t>
      </w:r>
      <w:r w:rsidR="00FA2909">
        <w:rPr>
          <w:lang w:val="en-GB"/>
        </w:rPr>
        <w:t xml:space="preserve">argued </w:t>
      </w:r>
      <w:r>
        <w:rPr>
          <w:lang w:val="en-GB"/>
        </w:rPr>
        <w:t xml:space="preserve">during RAN1#107bis </w:t>
      </w:r>
      <w:r w:rsidR="00FA2909">
        <w:rPr>
          <w:lang w:val="en-GB"/>
        </w:rPr>
        <w:t xml:space="preserve">that </w:t>
      </w:r>
      <w:r w:rsidR="00FA2909" w:rsidRPr="00FA2909">
        <w:rPr>
          <w:lang w:val="en-GB"/>
        </w:rPr>
        <w:t>interpretation 1 requires a UE to keep a closed-loop state unchanged for all repetitions of a PUSCH by ignoring any relevant TPC commands received among them, which equivalently requires a UE to implement more closed-loop states than the number of states it reports support of.</w:t>
      </w:r>
      <w:r w:rsidR="00FA2909">
        <w:rPr>
          <w:lang w:val="en-GB"/>
        </w:rPr>
        <w:t xml:space="preserve">  </w:t>
      </w:r>
      <w:r w:rsidR="0060101C">
        <w:rPr>
          <w:lang w:val="en-GB"/>
        </w:rPr>
        <w:t xml:space="preserve">In our understanding, interpretation 1 does not require the power to be constant for all repetitions of a TB.  If, for example, a DG PUSCH pre-empts a repeated PUSCH,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r>
          <w:rPr>
            <w:rFonts w:ascii="Cambria Math" w:hAnsi="Cambria Math"/>
            <w:lang w:val="en-GB"/>
          </w:rPr>
          <m:t>(i)</m:t>
        </m:r>
      </m:oMath>
      <w:r w:rsidR="0060101C">
        <w:rPr>
          <w:lang w:val="en-GB"/>
        </w:rPr>
        <w:t xml:space="preserve"> value is determined by the scheduling DCI for the high priority PUSCH, and the </w:t>
      </w:r>
      <w:r w:rsidR="00B21F70">
        <w:rPr>
          <w:lang w:val="en-GB"/>
        </w:rPr>
        <w:t xml:space="preserve">TPC command is applied to adjustment state </w:t>
      </w:r>
      <m:oMath>
        <m:r>
          <w:rPr>
            <w:rFonts w:ascii="Cambria Math" w:hAnsi="Cambria Math"/>
            <w:lang w:val="en-GB"/>
          </w:rPr>
          <m:t>l</m:t>
        </m:r>
      </m:oMath>
      <w:r w:rsidR="00B21F70">
        <w:rPr>
          <w:lang w:val="en-GB"/>
        </w:rPr>
        <w:t xml:space="preserve"> according to its </w:t>
      </w:r>
      <w:r w:rsidR="00B21F70">
        <w:rPr>
          <w:noProof/>
        </w:rPr>
        <w:t xml:space="preserve">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rsidR="00B21F70">
        <w:t xml:space="preserve">.  </w:t>
      </w:r>
      <w:r w:rsidR="00A61D1E">
        <w:t xml:space="preserve">In other words, </w:t>
      </w:r>
      <w:r w:rsidR="000C4849">
        <w:t xml:space="preserve">regardless of its grant type,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r>
          <w:rPr>
            <w:rFonts w:ascii="Cambria Math" w:hAnsi="Cambria Math"/>
            <w:lang w:val="en-GB"/>
          </w:rPr>
          <m:t>(i)</m:t>
        </m:r>
      </m:oMath>
      <w:r w:rsidR="00A61D1E">
        <w:rPr>
          <w:lang w:val="en-GB"/>
        </w:rPr>
        <w:t xml:space="preserve"> </w:t>
      </w:r>
      <w:r w:rsidR="000C4849">
        <w:rPr>
          <w:lang w:val="en-GB"/>
        </w:rPr>
        <w:t xml:space="preserve">for a PUSCH occasion </w:t>
      </w:r>
      <m:oMath>
        <m:r>
          <w:rPr>
            <w:rFonts w:ascii="Cambria Math" w:hAnsi="Cambria Math"/>
            <w:lang w:val="en-GB"/>
          </w:rPr>
          <m:t>i</m:t>
        </m:r>
      </m:oMath>
      <w:r w:rsidR="000C4849">
        <w:rPr>
          <w:lang w:val="en-GB"/>
        </w:rPr>
        <w:t xml:space="preserve"> </w:t>
      </w:r>
      <w:r w:rsidR="00A61D1E">
        <w:rPr>
          <w:lang w:val="en-GB"/>
        </w:rPr>
        <w:t xml:space="preserve">is </w:t>
      </w:r>
      <w:r w:rsidR="00793A09">
        <w:rPr>
          <w:lang w:val="en-GB"/>
        </w:rPr>
        <w:t xml:space="preserve">determined on a slot by slot basis even when PUSCH is repeated, since each slot can be affected by </w:t>
      </w:r>
      <w:r w:rsidR="000C4849">
        <w:rPr>
          <w:lang w:val="en-GB"/>
        </w:rPr>
        <w:t>DCI even after the first transmission.</w:t>
      </w:r>
    </w:p>
    <w:p w14:paraId="5A5722DC" w14:textId="4FB40D44" w:rsidR="00465884" w:rsidRDefault="00465884" w:rsidP="00FF6F64">
      <w:pPr>
        <w:spacing w:after="0"/>
        <w:rPr>
          <w:b/>
          <w:lang w:val="en-GB"/>
        </w:rPr>
      </w:pPr>
      <w:r w:rsidRPr="00F71037">
        <w:rPr>
          <w:b/>
          <w:lang w:val="en-GB"/>
        </w:rPr>
        <w:t>Observations</w:t>
      </w:r>
      <w:r w:rsidR="0090358E">
        <w:rPr>
          <w:b/>
          <w:lang w:val="en-GB"/>
        </w:rPr>
        <w:t xml:space="preserve"> </w:t>
      </w:r>
      <w:r w:rsidR="00F30DD8">
        <w:rPr>
          <w:b/>
          <w:lang w:val="en-GB"/>
        </w:rPr>
        <w:t>13 &amp; 14</w:t>
      </w:r>
    </w:p>
    <w:p w14:paraId="27D4C229" w14:textId="1916864A" w:rsidR="00E45272" w:rsidRPr="00F71037" w:rsidRDefault="00E45272" w:rsidP="00F71037">
      <w:pPr>
        <w:pStyle w:val="ListParagraph"/>
        <w:numPr>
          <w:ilvl w:val="0"/>
          <w:numId w:val="134"/>
        </w:numPr>
        <w:rPr>
          <w:b/>
          <w:lang w:val="en-GB"/>
        </w:rPr>
      </w:pPr>
      <w:r w:rsidRPr="00F71037">
        <w:rPr>
          <w:rFonts w:eastAsiaTheme="minorEastAsia"/>
          <w:lang w:val="en-GB"/>
        </w:rPr>
        <w:t xml:space="preserve">Interpretation 1 from RAN1#107bis, where </w:t>
      </w:r>
      <m:oMath>
        <m:sSub>
          <m:sSubPr>
            <m:ctrlPr>
              <w:rPr>
                <w:rFonts w:ascii="Cambria Math" w:eastAsiaTheme="minorEastAsia" w:hAnsi="Cambria Math"/>
                <w:i/>
                <w:lang w:val="en-GB"/>
              </w:rPr>
            </m:ctrlPr>
          </m:sSubPr>
          <m:e>
            <m:r>
              <w:rPr>
                <w:rFonts w:ascii="Cambria Math" w:eastAsiaTheme="minorEastAsia" w:hAnsi="Cambria Math"/>
                <w:lang w:val="en-GB"/>
              </w:rPr>
              <m:t>K</m:t>
            </m:r>
          </m:e>
          <m:sub>
            <m:r>
              <w:rPr>
                <w:rFonts w:ascii="Cambria Math" w:eastAsiaTheme="minorEastAsia" w:hAnsi="Cambria Math"/>
                <w:lang w:val="en-GB"/>
              </w:rPr>
              <m:t>PUSCH</m:t>
            </m:r>
          </m:sub>
        </m:sSub>
        <m:r>
          <w:rPr>
            <w:rFonts w:ascii="Cambria Math" w:eastAsiaTheme="minorEastAsia" w:hAnsi="Cambria Math"/>
            <w:lang w:val="en-GB"/>
          </w:rPr>
          <m:t>(i)</m:t>
        </m:r>
      </m:oMath>
      <w:r>
        <w:rPr>
          <w:rFonts w:eastAsiaTheme="minorEastAsia"/>
          <w:lang w:val="en-GB"/>
        </w:rPr>
        <w:t xml:space="preserve"> is the time from the PDCCH to the PUSCH repetition in transmission occasion </w:t>
      </w:r>
      <m:oMath>
        <m:r>
          <w:rPr>
            <w:rFonts w:ascii="Cambria Math" w:eastAsiaTheme="minorEastAsia" w:hAnsi="Cambria Math"/>
            <w:lang w:val="en-GB"/>
          </w:rPr>
          <m:t>i</m:t>
        </m:r>
      </m:oMath>
      <w:r>
        <w:rPr>
          <w:rFonts w:eastAsiaTheme="minorEastAsia"/>
          <w:lang w:val="en-GB"/>
        </w:rPr>
        <w:t xml:space="preserve"> for dynamically granted PUSCH is the correct interpretation</w:t>
      </w:r>
    </w:p>
    <w:p w14:paraId="669CDC7B" w14:textId="77777777" w:rsidR="00F549AA" w:rsidRDefault="00465884" w:rsidP="00F71037">
      <w:pPr>
        <w:pStyle w:val="ListParagraph"/>
        <w:numPr>
          <w:ilvl w:val="1"/>
          <w:numId w:val="134"/>
        </w:numPr>
        <w:rPr>
          <w:rFonts w:eastAsiaTheme="minorEastAsia"/>
          <w:lang w:val="en-GB"/>
        </w:rPr>
      </w:pPr>
      <w:r>
        <w:rPr>
          <w:rFonts w:eastAsiaTheme="minorEastAsia"/>
          <w:lang w:val="en-GB"/>
        </w:rPr>
        <w:t>“</w:t>
      </w:r>
      <w:r w:rsidRPr="00465884">
        <w:rPr>
          <w:rFonts w:eastAsiaTheme="minorEastAsia"/>
          <w:lang w:val="en-GB"/>
        </w:rPr>
        <w:t>PUSCH transmission</w:t>
      </w:r>
      <w:r>
        <w:rPr>
          <w:rFonts w:eastAsiaTheme="minorEastAsia"/>
          <w:lang w:val="en-GB"/>
        </w:rPr>
        <w:t>”</w:t>
      </w:r>
      <w:r w:rsidRPr="00465884">
        <w:rPr>
          <w:rFonts w:eastAsiaTheme="minorEastAsia"/>
          <w:lang w:val="en-GB"/>
        </w:rPr>
        <w:t xml:space="preserve"> is used instead of “PUSCH transmission occasion</w:t>
      </w:r>
      <w:r>
        <w:rPr>
          <w:rFonts w:eastAsiaTheme="minorEastAsia"/>
          <w:lang w:val="en-GB"/>
        </w:rPr>
        <w:t xml:space="preserve">” </w:t>
      </w:r>
      <w:r w:rsidR="00F549AA">
        <w:rPr>
          <w:rFonts w:eastAsiaTheme="minorEastAsia"/>
          <w:lang w:val="en-GB"/>
        </w:rPr>
        <w:t xml:space="preserve">to determine </w:t>
      </w:r>
      <m:oMath>
        <m:sSub>
          <m:sSubPr>
            <m:ctrlPr>
              <w:rPr>
                <w:rFonts w:ascii="Cambria Math" w:eastAsiaTheme="minorEastAsia" w:hAnsi="Cambria Math"/>
                <w:i/>
                <w:lang w:val="en-GB"/>
              </w:rPr>
            </m:ctrlPr>
          </m:sSubPr>
          <m:e>
            <m:r>
              <w:rPr>
                <w:rFonts w:ascii="Cambria Math" w:eastAsiaTheme="minorEastAsia" w:hAnsi="Cambria Math"/>
                <w:lang w:val="en-GB"/>
              </w:rPr>
              <m:t>K</m:t>
            </m:r>
          </m:e>
          <m:sub>
            <m:r>
              <w:rPr>
                <w:rFonts w:ascii="Cambria Math" w:eastAsiaTheme="minorEastAsia" w:hAnsi="Cambria Math"/>
                <w:lang w:val="en-GB"/>
              </w:rPr>
              <m:t>PUSCH</m:t>
            </m:r>
          </m:sub>
        </m:sSub>
        <m:r>
          <w:rPr>
            <w:rFonts w:ascii="Cambria Math" w:eastAsiaTheme="minorEastAsia" w:hAnsi="Cambria Math"/>
            <w:lang w:val="en-GB"/>
          </w:rPr>
          <m:t>(i)</m:t>
        </m:r>
      </m:oMath>
      <w:r w:rsidR="00F549AA">
        <w:rPr>
          <w:rFonts w:eastAsiaTheme="minorEastAsia"/>
          <w:lang w:val="en-GB"/>
        </w:rPr>
        <w:t xml:space="preserve"> in 38.213, since </w:t>
      </w:r>
      <w:r w:rsidR="00F549AA" w:rsidRPr="00F549AA">
        <w:rPr>
          <w:rFonts w:eastAsiaTheme="minorEastAsia"/>
          <w:lang w:val="en-GB"/>
        </w:rPr>
        <w:t xml:space="preserve">DCI schedules </w:t>
      </w:r>
      <w:r w:rsidR="00F549AA">
        <w:rPr>
          <w:rFonts w:eastAsiaTheme="minorEastAsia"/>
          <w:lang w:val="en-GB"/>
        </w:rPr>
        <w:t xml:space="preserve">PUSCH </w:t>
      </w:r>
      <w:r w:rsidR="00F549AA" w:rsidRPr="00F71037">
        <w:rPr>
          <w:rFonts w:eastAsiaTheme="minorEastAsia"/>
          <w:i/>
          <w:iCs/>
          <w:lang w:val="en-GB"/>
        </w:rPr>
        <w:t>transmissions</w:t>
      </w:r>
      <w:r w:rsidR="00F549AA" w:rsidRPr="00F549AA">
        <w:rPr>
          <w:rFonts w:eastAsiaTheme="minorEastAsia"/>
          <w:lang w:val="en-GB"/>
        </w:rPr>
        <w:t xml:space="preserve"> not </w:t>
      </w:r>
      <w:r w:rsidR="00F549AA" w:rsidRPr="00F71037">
        <w:rPr>
          <w:rFonts w:eastAsiaTheme="minorEastAsia"/>
          <w:i/>
          <w:iCs/>
          <w:lang w:val="en-GB"/>
        </w:rPr>
        <w:t>transmission occasions</w:t>
      </w:r>
      <w:r w:rsidR="00F549AA">
        <w:rPr>
          <w:rFonts w:eastAsiaTheme="minorEastAsia"/>
          <w:lang w:val="en-GB"/>
        </w:rPr>
        <w:t>.</w:t>
      </w:r>
    </w:p>
    <w:p w14:paraId="365C1C7F" w14:textId="13B07B89" w:rsidR="00465884" w:rsidRDefault="00F549AA" w:rsidP="00F71037">
      <w:pPr>
        <w:pStyle w:val="ListParagraph"/>
        <w:numPr>
          <w:ilvl w:val="2"/>
          <w:numId w:val="134"/>
        </w:numPr>
        <w:rPr>
          <w:rFonts w:eastAsiaTheme="minorEastAsia"/>
          <w:lang w:val="en-GB"/>
        </w:rPr>
      </w:pPr>
      <w:r>
        <w:rPr>
          <w:rFonts w:eastAsiaTheme="minorEastAsia"/>
          <w:lang w:val="en-GB"/>
        </w:rPr>
        <w:t>A</w:t>
      </w:r>
      <w:r w:rsidRPr="00F549AA">
        <w:rPr>
          <w:rFonts w:eastAsiaTheme="minorEastAsia"/>
          <w:lang w:val="en-GB"/>
        </w:rPr>
        <w:t xml:space="preserve"> transmission occasion is a unit of time, not the transmission in the unit of time</w:t>
      </w:r>
      <w:r>
        <w:rPr>
          <w:rFonts w:eastAsiaTheme="minorEastAsia"/>
          <w:lang w:val="en-GB"/>
        </w:rPr>
        <w:t xml:space="preserve"> that is scheduled</w:t>
      </w:r>
    </w:p>
    <w:p w14:paraId="2AC3F5D2" w14:textId="79B74F33" w:rsidR="00465884" w:rsidRDefault="008C2945" w:rsidP="00F71037">
      <w:pPr>
        <w:pStyle w:val="ListParagraph"/>
        <w:numPr>
          <w:ilvl w:val="1"/>
          <w:numId w:val="134"/>
        </w:numPr>
        <w:rPr>
          <w:rFonts w:eastAsiaTheme="minorEastAsia"/>
          <w:lang w:val="en-GB"/>
        </w:rPr>
      </w:pPr>
      <w:r>
        <w:rPr>
          <w:rFonts w:eastAsiaTheme="minorEastAsia"/>
          <w:lang w:val="en-GB"/>
        </w:rPr>
        <w:t>I</w:t>
      </w:r>
      <w:r w:rsidRPr="008C2945">
        <w:rPr>
          <w:rFonts w:eastAsiaTheme="minorEastAsia"/>
          <w:lang w:val="en-GB"/>
        </w:rPr>
        <w:t>nterpretation 1 does not require the power to be constant for all repetitions of a TB</w:t>
      </w:r>
      <w:r w:rsidR="00867066">
        <w:rPr>
          <w:rFonts w:eastAsiaTheme="minorEastAsia"/>
          <w:lang w:val="en-GB"/>
        </w:rPr>
        <w:t>, and so does not increase the number of independent power control states</w:t>
      </w:r>
    </w:p>
    <w:p w14:paraId="0BAF7EBB" w14:textId="1D648791" w:rsidR="003E3F14" w:rsidRDefault="003E3F14" w:rsidP="00F71037">
      <w:pPr>
        <w:pStyle w:val="ListParagraph"/>
        <w:numPr>
          <w:ilvl w:val="2"/>
          <w:numId w:val="134"/>
        </w:numPr>
        <w:rPr>
          <w:rFonts w:eastAsiaTheme="minorEastAsia"/>
          <w:lang w:val="en-GB"/>
        </w:rPr>
      </w:pPr>
      <w:r>
        <w:rPr>
          <w:rFonts w:eastAsiaTheme="minorEastAsia"/>
          <w:lang w:val="en-GB"/>
        </w:rPr>
        <w:t>For example, a DG PUSCH can pre-empt a repeated PUSCH and its TPC command can take effect for the remaining repetitions</w:t>
      </w:r>
    </w:p>
    <w:p w14:paraId="34B17BA0" w14:textId="24456FE8" w:rsidR="003E3F14" w:rsidRDefault="00EB7182" w:rsidP="00F71037">
      <w:pPr>
        <w:pStyle w:val="ListParagraph"/>
        <w:numPr>
          <w:ilvl w:val="2"/>
          <w:numId w:val="134"/>
        </w:numPr>
        <w:rPr>
          <w:rFonts w:eastAsiaTheme="minorEastAsia"/>
          <w:lang w:val="en-GB"/>
        </w:rPr>
      </w:pP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r>
          <w:rPr>
            <w:rFonts w:ascii="Cambria Math" w:hAnsi="Cambria Math"/>
            <w:lang w:val="en-GB"/>
          </w:rPr>
          <m:t>(i)</m:t>
        </m:r>
      </m:oMath>
      <w:r w:rsidR="003E3F14">
        <w:rPr>
          <w:rFonts w:eastAsiaTheme="minorEastAsia"/>
          <w:lang w:val="en-GB"/>
        </w:rPr>
        <w:t xml:space="preserve"> for a PUSCH occasion </w:t>
      </w:r>
      <m:oMath>
        <m:r>
          <w:rPr>
            <w:rFonts w:ascii="Cambria Math" w:eastAsiaTheme="minorEastAsia" w:hAnsi="Cambria Math"/>
            <w:lang w:val="en-GB"/>
          </w:rPr>
          <m:t>i</m:t>
        </m:r>
      </m:oMath>
      <w:r w:rsidR="003E3F14">
        <w:rPr>
          <w:rFonts w:eastAsiaTheme="minorEastAsia"/>
          <w:lang w:val="en-GB"/>
        </w:rPr>
        <w:t xml:space="preserve"> is determined on a slot by slot basis even when PUSCH is repeated</w:t>
      </w:r>
    </w:p>
    <w:p w14:paraId="16E2E01D" w14:textId="4CEF7F6A" w:rsidR="004C5F4F" w:rsidRPr="00233520" w:rsidRDefault="004C5F4F" w:rsidP="00F71037">
      <w:pPr>
        <w:pStyle w:val="ListParagraph"/>
        <w:numPr>
          <w:ilvl w:val="0"/>
          <w:numId w:val="134"/>
        </w:numPr>
        <w:rPr>
          <w:lang w:val="en-GB"/>
        </w:rPr>
      </w:pPr>
      <w:r>
        <w:rPr>
          <w:rFonts w:eastAsiaTheme="minorEastAsia"/>
          <w:lang w:val="en-GB"/>
        </w:rPr>
        <w:t xml:space="preserve">Therefore </w:t>
      </w:r>
      <w:r w:rsidR="00477CBF">
        <w:rPr>
          <w:rFonts w:eastAsiaTheme="minorEastAsia"/>
          <w:lang w:val="en-GB"/>
        </w:rPr>
        <w:t xml:space="preserve">DCI 2_2 </w:t>
      </w:r>
      <w:r>
        <w:rPr>
          <w:rFonts w:eastAsiaTheme="minorEastAsia"/>
          <w:lang w:val="en-GB"/>
        </w:rPr>
        <w:t xml:space="preserve">TPC commands </w:t>
      </w:r>
      <w:r w:rsidR="00B10E0B">
        <w:rPr>
          <w:rFonts w:eastAsiaTheme="minorEastAsia"/>
          <w:lang w:val="en-GB"/>
        </w:rPr>
        <w:t xml:space="preserve">for </w:t>
      </w:r>
      <w:r>
        <w:rPr>
          <w:rFonts w:eastAsiaTheme="minorEastAsia"/>
          <w:lang w:val="en-GB"/>
        </w:rPr>
        <w:t>DG PUSCH</w:t>
      </w:r>
      <w:r w:rsidR="007B6D96">
        <w:rPr>
          <w:rFonts w:eastAsiaTheme="minorEastAsia"/>
          <w:lang w:val="en-GB"/>
        </w:rPr>
        <w:t xml:space="preserve"> received during a nominal TDW already </w:t>
      </w:r>
      <w:r w:rsidR="007B6D96" w:rsidRPr="007B6D96">
        <w:rPr>
          <w:rFonts w:eastAsiaTheme="minorEastAsia"/>
          <w:lang w:val="en-GB"/>
        </w:rPr>
        <w:t xml:space="preserve">take effect after </w:t>
      </w:r>
      <w:r w:rsidR="007B6D96">
        <w:rPr>
          <w:rFonts w:eastAsiaTheme="minorEastAsia"/>
          <w:lang w:val="en-GB"/>
        </w:rPr>
        <w:t xml:space="preserve">the nominal </w:t>
      </w:r>
      <w:r w:rsidR="007B6D96" w:rsidRPr="007B6D96">
        <w:rPr>
          <w:rFonts w:eastAsiaTheme="minorEastAsia"/>
          <w:lang w:val="en-GB"/>
        </w:rPr>
        <w:t>TDW</w:t>
      </w:r>
      <w:r w:rsidR="007B6D96">
        <w:rPr>
          <w:rFonts w:eastAsiaTheme="minorEastAsia"/>
          <w:lang w:val="en-GB"/>
        </w:rPr>
        <w:t xml:space="preserve"> in </w:t>
      </w:r>
      <w:r w:rsidRPr="00F71037">
        <w:rPr>
          <w:rFonts w:eastAsiaTheme="minorEastAsia"/>
          <w:lang w:val="en-GB"/>
        </w:rPr>
        <w:t>Rel-15/16 operation</w:t>
      </w:r>
      <w:r w:rsidR="007B6D96">
        <w:rPr>
          <w:rFonts w:eastAsiaTheme="minorEastAsia"/>
          <w:lang w:val="en-GB"/>
        </w:rPr>
        <w:t>, and a Rel-17 mechanism for DMRS bundling to defer TPC commands is only needed for CG PUSCH</w:t>
      </w:r>
      <w:r w:rsidR="00E674DE">
        <w:rPr>
          <w:rFonts w:eastAsiaTheme="minorEastAsia"/>
          <w:lang w:val="en-GB"/>
        </w:rPr>
        <w:t xml:space="preserve"> for DCI 2_2 TPC commands</w:t>
      </w:r>
      <w:r w:rsidR="007B6D96">
        <w:rPr>
          <w:rFonts w:eastAsiaTheme="minorEastAsia"/>
          <w:lang w:val="en-GB"/>
        </w:rPr>
        <w:t xml:space="preserve">. </w:t>
      </w:r>
    </w:p>
    <w:p w14:paraId="3551A696" w14:textId="6166E3A5" w:rsidR="00C932CF" w:rsidRDefault="004B1E87" w:rsidP="008F40CC">
      <w:pPr>
        <w:rPr>
          <w:lang w:val="en-GB"/>
        </w:rPr>
      </w:pPr>
      <w:r>
        <w:rPr>
          <w:lang w:val="en-GB"/>
        </w:rPr>
        <w:t>B</w:t>
      </w:r>
      <w:r w:rsidR="00C932CF">
        <w:rPr>
          <w:lang w:val="en-GB"/>
        </w:rPr>
        <w:t xml:space="preserve">ecause a DG PUSCH can </w:t>
      </w:r>
      <w:r w:rsidR="00EA5569">
        <w:rPr>
          <w:lang w:val="en-GB"/>
        </w:rPr>
        <w:t>pre-empt a repeated PUSCH</w:t>
      </w:r>
      <w:r>
        <w:rPr>
          <w:lang w:val="en-GB"/>
        </w:rPr>
        <w:t xml:space="preserve"> and change the power of the remaining repetitions given interpretation 1, </w:t>
      </w:r>
      <w:r w:rsidR="00EA5569">
        <w:rPr>
          <w:lang w:val="en-GB"/>
        </w:rPr>
        <w:t xml:space="preserve">it could be asked if the TPC command provided with the pre-empting DCI should be deferred </w:t>
      </w:r>
      <w:r w:rsidR="002B386E">
        <w:rPr>
          <w:lang w:val="en-GB"/>
        </w:rPr>
        <w:t xml:space="preserve">as was agreed for DCI 2_2 </w:t>
      </w:r>
      <w:r w:rsidR="00EA5569">
        <w:rPr>
          <w:lang w:val="en-GB"/>
        </w:rPr>
        <w:t>or if it should be applied immediately.</w:t>
      </w:r>
      <w:r w:rsidR="002B386E">
        <w:rPr>
          <w:lang w:val="en-GB"/>
        </w:rPr>
        <w:t xml:space="preserve">  Since cancellation or dropping of PUSCH is an event that breaks phase continuity and power consistency, there should be no special consideration for TPC commands carried in DCI scheduling a PUSCH, and it is sufficient to defer only the TPC commands carried in DCI 2_2.</w:t>
      </w:r>
    </w:p>
    <w:p w14:paraId="25D970AE" w14:textId="015694AA" w:rsidR="00867066" w:rsidRPr="002A1584" w:rsidRDefault="00867066" w:rsidP="00867066">
      <w:pPr>
        <w:spacing w:after="0"/>
        <w:rPr>
          <w:b/>
          <w:lang w:val="en-GB"/>
        </w:rPr>
      </w:pPr>
      <w:r w:rsidRPr="002A1584">
        <w:rPr>
          <w:b/>
          <w:lang w:val="en-GB"/>
        </w:rPr>
        <w:t>Observation</w:t>
      </w:r>
      <w:r w:rsidR="0090358E">
        <w:rPr>
          <w:b/>
          <w:lang w:val="en-GB"/>
        </w:rPr>
        <w:t xml:space="preserve"> 1</w:t>
      </w:r>
      <w:r w:rsidR="00F30DD8">
        <w:rPr>
          <w:b/>
          <w:lang w:val="en-GB"/>
        </w:rPr>
        <w:t>5</w:t>
      </w:r>
    </w:p>
    <w:p w14:paraId="213914A3" w14:textId="7185BB09" w:rsidR="00867066" w:rsidRPr="00233520" w:rsidRDefault="00867066" w:rsidP="00F71037">
      <w:pPr>
        <w:pStyle w:val="ListParagraph"/>
        <w:numPr>
          <w:ilvl w:val="0"/>
          <w:numId w:val="135"/>
        </w:numPr>
        <w:rPr>
          <w:lang w:val="en-GB"/>
        </w:rPr>
      </w:pPr>
      <w:r>
        <w:rPr>
          <w:rFonts w:eastAsiaTheme="minorEastAsia"/>
          <w:lang w:val="en-GB"/>
        </w:rPr>
        <w:t>Since cancellation or dropping of PUSCH is an event that breaks phase continuity and power consistency, it is sufficient to defer only the TPC commands carried in DCI 2_2 given interpretation 1.</w:t>
      </w:r>
    </w:p>
    <w:p w14:paraId="2BC1015B" w14:textId="61663155" w:rsidR="00B565F5" w:rsidRDefault="008F40CC" w:rsidP="008F40CC">
      <w:pPr>
        <w:rPr>
          <w:lang w:val="en-GB"/>
        </w:rPr>
      </w:pPr>
      <w:r>
        <w:rPr>
          <w:lang w:val="en-GB"/>
        </w:rPr>
        <w:t xml:space="preserve">One alternative discussed </w:t>
      </w:r>
      <w:r w:rsidR="00401FEB">
        <w:rPr>
          <w:lang w:val="en-GB"/>
        </w:rPr>
        <w:t>during drafting of 38</w:t>
      </w:r>
      <w:r w:rsidR="007F02A6">
        <w:rPr>
          <w:lang w:val="en-GB"/>
        </w:rPr>
        <w:t>.</w:t>
      </w:r>
      <w:r w:rsidR="00401FEB">
        <w:rPr>
          <w:lang w:val="en-GB"/>
        </w:rPr>
        <w:t xml:space="preserve">213 </w:t>
      </w:r>
      <w:r>
        <w:rPr>
          <w:lang w:val="en-GB"/>
        </w:rPr>
        <w:t>was to define a transmission occasion for the purpose of power control to be all the repetitions within the configured time domain window</w:t>
      </w:r>
      <w:r w:rsidR="005A4CCB">
        <w:rPr>
          <w:lang w:val="en-GB"/>
        </w:rPr>
        <w:t xml:space="preserve"> (CTDW)</w:t>
      </w:r>
      <w:r>
        <w:rPr>
          <w:lang w:val="en-GB"/>
        </w:rPr>
        <w:t xml:space="preserve">.  </w:t>
      </w:r>
      <w:r w:rsidR="00B565F5">
        <w:rPr>
          <w:lang w:val="en-GB"/>
        </w:rPr>
        <w:t>This led to the conclusion</w:t>
      </w:r>
      <w:r w:rsidR="00401FEB">
        <w:rPr>
          <w:lang w:val="en-GB"/>
        </w:rPr>
        <w:t xml:space="preserve"> in RAN1#107bis</w:t>
      </w:r>
      <w:r w:rsidR="00B565F5">
        <w:rPr>
          <w:lang w:val="en-GB"/>
        </w:rPr>
        <w:t xml:space="preserve">: </w:t>
      </w:r>
    </w:p>
    <w:p w14:paraId="60005467" w14:textId="77777777" w:rsidR="00B565F5" w:rsidRPr="00B565F5" w:rsidRDefault="00B565F5" w:rsidP="00F71037">
      <w:pPr>
        <w:spacing w:after="0" w:line="240" w:lineRule="auto"/>
        <w:ind w:left="420"/>
        <w:rPr>
          <w:rFonts w:ascii="Times New Roman" w:eastAsia="Calibri" w:hAnsi="Times New Roman" w:cs="Calibri"/>
          <w:b/>
          <w:szCs w:val="21"/>
        </w:rPr>
      </w:pPr>
      <w:r w:rsidRPr="00B565F5">
        <w:rPr>
          <w:rFonts w:ascii="Times New Roman" w:eastAsia="Calibri" w:hAnsi="Times New Roman" w:cs="Calibri"/>
          <w:b/>
          <w:szCs w:val="21"/>
        </w:rPr>
        <w:t>Conclusion</w:t>
      </w:r>
    </w:p>
    <w:p w14:paraId="07B2EBE8" w14:textId="77777777" w:rsidR="00B565F5" w:rsidRPr="00B565F5" w:rsidRDefault="00B565F5" w:rsidP="00F71037">
      <w:pPr>
        <w:numPr>
          <w:ilvl w:val="0"/>
          <w:numId w:val="136"/>
        </w:numPr>
        <w:autoSpaceDE w:val="0"/>
        <w:autoSpaceDN w:val="0"/>
        <w:adjustRightInd w:val="0"/>
        <w:snapToGrid w:val="0"/>
        <w:spacing w:line="240" w:lineRule="auto"/>
        <w:ind w:left="836" w:hanging="418"/>
        <w:rPr>
          <w:rFonts w:ascii="Times" w:eastAsia="Batang" w:hAnsi="Times" w:cs="Times New Roman"/>
          <w:sz w:val="21"/>
          <w:szCs w:val="21"/>
          <w:lang w:val="en-GB" w:eastAsia="x-none"/>
        </w:rPr>
      </w:pPr>
      <w:r w:rsidRPr="00B565F5">
        <w:rPr>
          <w:rFonts w:ascii="Times" w:eastAsia="Batang" w:hAnsi="Times" w:cs="Times New Roman"/>
          <w:sz w:val="21"/>
          <w:szCs w:val="21"/>
          <w:lang w:val="en-GB" w:eastAsia="x-none"/>
        </w:rPr>
        <w:t>It is not expected to redefine transmission occasion for PUSCH/PUCCH for DMRS bundling in Rel-17.</w:t>
      </w:r>
    </w:p>
    <w:p w14:paraId="2E64059F" w14:textId="171BCDE9" w:rsidR="00B565F5" w:rsidRDefault="00B565F5" w:rsidP="008F40CC">
      <w:pPr>
        <w:rPr>
          <w:lang w:val="en-GB"/>
        </w:rPr>
      </w:pPr>
      <w:r>
        <w:rPr>
          <w:lang w:val="en-GB"/>
        </w:rPr>
        <w:lastRenderedPageBreak/>
        <w:t xml:space="preserve">Consequently, TPC deferral for DCI format 2_2 should be </w:t>
      </w:r>
      <w:r w:rsidR="000859D1">
        <w:rPr>
          <w:lang w:val="en-GB"/>
        </w:rPr>
        <w:t>specified using Rel-15/16</w:t>
      </w:r>
      <w:r>
        <w:rPr>
          <w:lang w:val="en-GB"/>
        </w:rPr>
        <w:t>transmission occasions.</w:t>
      </w:r>
    </w:p>
    <w:p w14:paraId="504CBBDD" w14:textId="3CE8D16E" w:rsidR="00A61231" w:rsidRPr="005212BE" w:rsidRDefault="00077876" w:rsidP="008F40CC">
      <w:pPr>
        <w:rPr>
          <w:lang w:val="en-GB"/>
        </w:rPr>
      </w:pPr>
      <w:r w:rsidRPr="005212BE">
        <w:rPr>
          <w:lang w:val="en-GB"/>
        </w:rPr>
        <w:t xml:space="preserve">For the case where TPC accumulation is used, the </w:t>
      </w:r>
      <w:r w:rsidR="00B565F5">
        <w:rPr>
          <w:lang w:val="en-GB"/>
        </w:rPr>
        <w:t xml:space="preserve">RAN1#107 </w:t>
      </w:r>
      <w:r w:rsidRPr="005212BE">
        <w:rPr>
          <w:lang w:val="en-GB"/>
        </w:rPr>
        <w:t>agreement states that TPC commands are accumulated, but take</w:t>
      </w:r>
      <w:r w:rsidR="00332EAF">
        <w:rPr>
          <w:lang w:val="en-GB"/>
        </w:rPr>
        <w:t>n</w:t>
      </w:r>
      <w:r w:rsidRPr="005212BE">
        <w:rPr>
          <w:lang w:val="en-GB"/>
        </w:rPr>
        <w:t xml:space="preserve"> into effect only after the CTDW.  Therefore, </w:t>
      </w:r>
      <w:r w:rsidR="00942FF7" w:rsidRPr="005212BE">
        <w:rPr>
          <w:lang w:val="en-GB"/>
        </w:rPr>
        <w:t xml:space="preserve">the power for </w:t>
      </w:r>
      <w:r w:rsidRPr="005212BE">
        <w:rPr>
          <w:lang w:val="en-GB"/>
        </w:rPr>
        <w:t xml:space="preserve">the first transmission occasion within the CTDW </w:t>
      </w:r>
      <w:r w:rsidR="00942FF7" w:rsidRPr="005212BE">
        <w:rPr>
          <w:lang w:val="en-GB"/>
        </w:rPr>
        <w:t xml:space="preserve">can be calculated according to Rel-16 operation, and the remaining transmission occasions will be at this power.  All TPC commands for transmission occasions after the first transmission in the CTDW and until the first transmission occasion after the CTDW can be combined together into an offset to be used for the first transmission occasion after the CDTW.  Since the power offset for each transmission occasion in Rel-16 is </w:t>
      </w:r>
      <m:oMath>
        <m:nary>
          <m:naryPr>
            <m:chr m:val="∑"/>
            <m:limLoc m:val="undOvr"/>
            <m:ctrlPr>
              <w:rPr>
                <w:rFonts w:ascii="Cambria Math" w:eastAsia="SimSun" w:hAnsi="Cambria Math" w:cs="Times New Roman"/>
                <w:i/>
              </w:rPr>
            </m:ctrlPr>
          </m:naryPr>
          <m:sub>
            <m:r>
              <w:rPr>
                <w:rFonts w:ascii="Cambria Math" w:hAnsi="Cambria Math" w:cs="Times New Roman"/>
              </w:rPr>
              <m:t>m=0</m:t>
            </m:r>
          </m:sub>
          <m:sup>
            <m:r>
              <w:rPr>
                <w:rFonts w:ascii="Cambria Math" w:hAnsi="Cambria Math" w:cs="Times New Roman"/>
              </w:rPr>
              <m:t>C</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i</m:t>
                    </m:r>
                  </m:sub>
                </m:sSub>
              </m:e>
            </m:d>
            <m:r>
              <w:rPr>
                <w:rFonts w:ascii="Cambria Math" w:hAnsi="Cambria Math" w:cs="Times New Roman"/>
              </w:rPr>
              <m:t>-1</m:t>
            </m:r>
          </m:sup>
          <m:e>
            <m:sSub>
              <m:sSubPr>
                <m:ctrlPr>
                  <w:rPr>
                    <w:rFonts w:ascii="Cambria Math" w:hAnsi="Cambria Math" w:cs="Times New Roman"/>
                    <w:i/>
                  </w:rPr>
                </m:ctrlPr>
              </m:sSubPr>
              <m:e>
                <m:r>
                  <w:rPr>
                    <w:rFonts w:ascii="Cambria Math" w:hAnsi="Cambria Math" w:cs="Times New Roman"/>
                  </w:rPr>
                  <m:t>δ</m:t>
                </m:r>
              </m:e>
              <m:sub>
                <m:r>
                  <w:rPr>
                    <w:rFonts w:ascii="Cambria Math" w:hAnsi="Cambria Math" w:cs="Times New Roman"/>
                  </w:rPr>
                  <m:t>PUSCH,b,f,c</m:t>
                </m:r>
              </m:sub>
            </m:sSub>
            <m:r>
              <w:rPr>
                <w:rFonts w:ascii="Cambria Math" w:hAnsi="Cambria Math" w:cs="Times New Roman"/>
              </w:rPr>
              <m:t>(m,l)</m:t>
            </m:r>
          </m:e>
        </m:nary>
      </m:oMath>
      <w:r w:rsidR="00942FF7" w:rsidRPr="00B51F17">
        <w:t xml:space="preserve">, these offsets can simply be summed over the transmission occasions in the CTDW.  Therefore, </w:t>
      </w:r>
      <w:r w:rsidR="00942FF7" w:rsidRPr="00D97235">
        <w:rPr>
          <w:lang w:val="en-GB"/>
        </w:rPr>
        <w:t>a</w:t>
      </w:r>
      <w:r w:rsidR="00A60504" w:rsidRPr="005212BE">
        <w:rPr>
          <w:lang w:val="en-GB"/>
        </w:rPr>
        <w:t>n alternative using the existing transmission occasion definition can be the following.</w:t>
      </w:r>
    </w:p>
    <w:p w14:paraId="1659EE53" w14:textId="50F03A8E" w:rsidR="00A60504" w:rsidRPr="00B520AD" w:rsidRDefault="00A60504" w:rsidP="00B51F17">
      <w:pPr>
        <w:ind w:left="851" w:hanging="284"/>
        <w:rPr>
          <w:rFonts w:ascii="Times New Roman" w:hAnsi="Times New Roman" w:cs="Times New Roman"/>
          <w:sz w:val="20"/>
          <w:szCs w:val="20"/>
        </w:rPr>
      </w:pPr>
      <w:r w:rsidRPr="00B520AD">
        <w:rPr>
          <w:rFonts w:ascii="Times New Roman" w:hAnsi="Times New Roman" w:cs="Times New Roman"/>
          <w:sz w:val="20"/>
          <w:szCs w:val="20"/>
        </w:rPr>
        <w:t>-</w:t>
      </w:r>
      <w:r w:rsidRPr="00B520AD">
        <w:rPr>
          <w:rFonts w:ascii="Times New Roman" w:hAnsi="Times New Roman" w:cs="Times New Roman"/>
          <w:sz w:val="20"/>
          <w:szCs w:val="20"/>
        </w:rPr>
        <w:tab/>
        <w:t xml:space="preserve">If the UE is provided </w:t>
      </w:r>
      <w:r w:rsidRPr="00B520AD">
        <w:rPr>
          <w:rFonts w:ascii="Times New Roman" w:hAnsi="Times New Roman" w:cs="Times New Roman"/>
          <w:i/>
          <w:iCs/>
          <w:sz w:val="20"/>
          <w:szCs w:val="20"/>
        </w:rPr>
        <w:t>PUSCH-DMRS-Bundling</w:t>
      </w:r>
      <w:r w:rsidRPr="00B520AD">
        <w:rPr>
          <w:rFonts w:ascii="Times New Roman" w:hAnsi="Times New Roman" w:cs="Times New Roman"/>
          <w:sz w:val="20"/>
          <w:szCs w:val="20"/>
        </w:rPr>
        <w:t xml:space="preserve"> = ‘enabled’, and for processing TPC command values provided by DCI format 2_2 with CRC scrambled by TPC-PUSCH-RNTI, if a transmission occasion </w:t>
      </w:r>
      <m:oMath>
        <m:r>
          <w:rPr>
            <w:rFonts w:ascii="Cambria Math" w:hAnsi="Cambria Math" w:cs="Times New Roman"/>
            <w:sz w:val="20"/>
            <w:szCs w:val="20"/>
          </w:rPr>
          <m:t>i</m:t>
        </m:r>
      </m:oMath>
      <w:r w:rsidRPr="00B520AD">
        <w:rPr>
          <w:rFonts w:ascii="Times New Roman" w:hAnsi="Times New Roman" w:cs="Times New Roman"/>
          <w:sz w:val="20"/>
          <w:szCs w:val="20"/>
        </w:rPr>
        <w:t xml:space="preserve"> </w:t>
      </w:r>
      <w:r w:rsidR="00C41FAD">
        <w:rPr>
          <w:rFonts w:ascii="Times New Roman" w:hAnsi="Times New Roman" w:cs="Times New Roman"/>
          <w:sz w:val="20"/>
          <w:szCs w:val="20"/>
        </w:rPr>
        <w:t xml:space="preserve">containing a </w:t>
      </w:r>
      <w:r w:rsidR="00C41FAD" w:rsidRPr="00946E0D">
        <w:rPr>
          <w:rFonts w:ascii="Times New Roman" w:hAnsi="Times New Roman" w:cs="Times New Roman"/>
          <w:sz w:val="20"/>
          <w:szCs w:val="20"/>
        </w:rPr>
        <w:t xml:space="preserve">PUSCH transmission configured by </w:t>
      </w:r>
      <w:proofErr w:type="spellStart"/>
      <w:r w:rsidR="00C41FAD" w:rsidRPr="00C41FAD">
        <w:rPr>
          <w:rFonts w:ascii="Times New Roman" w:hAnsi="Times New Roman" w:cs="Times New Roman"/>
          <w:i/>
          <w:iCs/>
          <w:sz w:val="20"/>
          <w:szCs w:val="20"/>
        </w:rPr>
        <w:t>ConfiguredGrantConfig</w:t>
      </w:r>
      <w:proofErr w:type="spellEnd"/>
      <w:r w:rsidR="00C41FAD" w:rsidRPr="00B520AD">
        <w:rPr>
          <w:rFonts w:ascii="Times New Roman" w:hAnsi="Times New Roman" w:cs="Times New Roman"/>
          <w:sz w:val="20"/>
          <w:szCs w:val="20"/>
        </w:rPr>
        <w:t xml:space="preserve"> </w:t>
      </w:r>
      <w:r w:rsidRPr="00B520AD">
        <w:rPr>
          <w:rFonts w:ascii="Times New Roman" w:hAnsi="Times New Roman" w:cs="Times New Roman"/>
          <w:sz w:val="20"/>
          <w:szCs w:val="20"/>
        </w:rPr>
        <w:t xml:space="preserve">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oMath>
      <w:r w:rsidRPr="00B520AD">
        <w:rPr>
          <w:rFonts w:ascii="Times New Roman"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oMath>
      <w:r w:rsidRPr="00B520AD">
        <w:rPr>
          <w:rFonts w:ascii="Times New Roman" w:hAnsi="Times New Roman" w:cs="Times New Roman"/>
          <w:sz w:val="20"/>
          <w:szCs w:val="20"/>
        </w:rPr>
        <w:t xml:space="preserve"> is a first transmission occasion within the nominal time domain window.  For a first transmission occasion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oMath>
      <w:r w:rsidRPr="00B520AD">
        <w:rPr>
          <w:rFonts w:ascii="Times New Roman" w:hAnsi="Times New Roman" w:cs="Times New Roman"/>
          <w:sz w:val="20"/>
          <w:szCs w:val="20"/>
        </w:rPr>
        <w:t xml:space="preserve"> after the transmission nomi</w:t>
      </w:r>
      <w:proofErr w:type="spellStart"/>
      <w:r w:rsidRPr="00B520AD">
        <w:rPr>
          <w:rFonts w:ascii="Times New Roman" w:hAnsi="Times New Roman" w:cs="Times New Roman"/>
          <w:sz w:val="20"/>
          <w:szCs w:val="20"/>
        </w:rPr>
        <w:t>nal</w:t>
      </w:r>
      <w:proofErr w:type="spellEnd"/>
      <w:r w:rsidRPr="00B520AD">
        <w:rPr>
          <w:rFonts w:ascii="Times New Roman" w:hAnsi="Times New Roman" w:cs="Times New Roman"/>
          <w:sz w:val="20"/>
          <w:szCs w:val="20"/>
        </w:rPr>
        <w:t xml:space="preserve"> time domain window,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r>
              <w:rPr>
                <w:rFonts w:ascii="Cambria Math" w:hAnsi="Cambria Math" w:cs="Times New Roman"/>
                <w:sz w:val="20"/>
                <w:szCs w:val="20"/>
              </w:rPr>
              <m:t>,l</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sup>
          <m:e>
            <m:nary>
              <m:naryPr>
                <m:chr m:val="∑"/>
                <m:limLoc m:val="undOvr"/>
                <m:ctrlPr>
                  <w:rPr>
                    <w:rFonts w:ascii="Cambria Math" w:eastAsia="SimSun"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sidRPr="00B520AD">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oMath>
      <w:r w:rsidRPr="00B520AD">
        <w:rPr>
          <w:rFonts w:ascii="Times New Roman" w:hAnsi="Times New Roman" w:cs="Times New Roman"/>
          <w:sz w:val="20"/>
          <w:szCs w:val="20"/>
        </w:rPr>
        <w:t xml:space="preserve"> as defined above</w:t>
      </w:r>
      <w:r w:rsidR="0071541A">
        <w:rPr>
          <w:rFonts w:ascii="Times New Roman" w:hAnsi="Times New Roman" w:cs="Times New Roman"/>
          <w:sz w:val="20"/>
          <w:szCs w:val="20"/>
        </w:rPr>
        <w:t>.</w:t>
      </w:r>
    </w:p>
    <w:p w14:paraId="5020E31A" w14:textId="13A7542C" w:rsidR="00EE3D1C" w:rsidRDefault="00EE3D1C" w:rsidP="008F40CC">
      <w:pPr>
        <w:rPr>
          <w:lang w:val="en-GB"/>
        </w:rPr>
      </w:pPr>
      <w:r>
        <w:rPr>
          <w:lang w:val="en-GB"/>
        </w:rPr>
        <w:t xml:space="preserve">This proposal is in our view a more </w:t>
      </w:r>
      <w:r w:rsidR="000C7B48">
        <w:rPr>
          <w:lang w:val="en-GB"/>
        </w:rPr>
        <w:t xml:space="preserve">clear way of stating the desired </w:t>
      </w:r>
      <w:proofErr w:type="spellStart"/>
      <w:r w:rsidR="000C7B48">
        <w:rPr>
          <w:lang w:val="en-GB"/>
        </w:rPr>
        <w:t>behavior</w:t>
      </w:r>
      <w:proofErr w:type="spellEnd"/>
      <w:r w:rsidR="000C7B48">
        <w:rPr>
          <w:lang w:val="en-GB"/>
        </w:rPr>
        <w:t xml:space="preserve"> as compared to Option 3 from </w:t>
      </w:r>
      <w:r w:rsidR="001670AF">
        <w:rPr>
          <w:lang w:val="en-GB"/>
        </w:rPr>
        <w:t>RAN1#107bis</w:t>
      </w:r>
      <w:r w:rsidR="000C7B48">
        <w:rPr>
          <w:lang w:val="en-GB"/>
        </w:rPr>
        <w:t xml:space="preserve"> (copied below), since ‘the commands that would take effect’ are explicitly stated as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sup>
          <m:e>
            <m:nary>
              <m:naryPr>
                <m:chr m:val="∑"/>
                <m:limLoc m:val="undOvr"/>
                <m:ctrlPr>
                  <w:rPr>
                    <w:rFonts w:ascii="Cambria Math" w:eastAsia="SimSun"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sidR="000C7B48">
        <w:rPr>
          <w:lang w:val="en-GB"/>
        </w:rPr>
        <w:t>”.</w:t>
      </w:r>
    </w:p>
    <w:p w14:paraId="1320EA9D" w14:textId="77777777" w:rsidR="000C7B48" w:rsidRPr="00F71037" w:rsidRDefault="000C7B48" w:rsidP="00F71037">
      <w:pPr>
        <w:spacing w:before="156" w:after="0" w:line="240" w:lineRule="auto"/>
        <w:ind w:left="567"/>
        <w:rPr>
          <w:sz w:val="21"/>
          <w:szCs w:val="21"/>
        </w:rPr>
      </w:pPr>
      <w:r w:rsidRPr="00F71037">
        <w:rPr>
          <w:b/>
          <w:sz w:val="21"/>
          <w:szCs w:val="21"/>
        </w:rPr>
        <w:t>Option 3:</w:t>
      </w:r>
      <w:r w:rsidRPr="00F71037">
        <w:rPr>
          <w:sz w:val="21"/>
          <w:szCs w:val="21"/>
        </w:rPr>
        <w:t xml:space="preserve"> Modify the behavior for accumulating TPC command value, e.g. </w:t>
      </w:r>
      <w:r w:rsidRPr="00F71037">
        <w:rPr>
          <w:rFonts w:hint="eastAsia"/>
          <w:sz w:val="21"/>
          <w:szCs w:val="21"/>
        </w:rPr>
        <w:t>①</w:t>
      </w:r>
      <w:r w:rsidRPr="00F71037">
        <w:rPr>
          <w:sz w:val="21"/>
          <w:szCs w:val="21"/>
        </w:rPr>
        <w:t xml:space="preserve"> </w:t>
      </w:r>
      <w:r w:rsidRPr="00F71037">
        <w:rPr>
          <w:sz w:val="21"/>
          <w:szCs w:val="21"/>
          <w:lang w:val="en-GB"/>
        </w:rPr>
        <w:t xml:space="preserve">For a transmission occasion </w:t>
      </w:r>
      <m:oMath>
        <m:r>
          <w:rPr>
            <w:rFonts w:ascii="Cambria Math" w:hAnsi="Cambria Math"/>
            <w:sz w:val="21"/>
            <w:szCs w:val="21"/>
            <w:lang w:val="en-GB"/>
          </w:rPr>
          <m:t>i</m:t>
        </m:r>
      </m:oMath>
      <w:r w:rsidRPr="00F71037">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sidRPr="00F71037">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sidRPr="00F71037">
        <w:rPr>
          <w:sz w:val="21"/>
          <w:szCs w:val="21"/>
          <w:lang w:val="en-GB"/>
        </w:rPr>
        <w:t xml:space="preserve"> is a first transmission occasion within the nominal time domain window; </w:t>
      </w:r>
      <w:r w:rsidRPr="00F71037">
        <w:rPr>
          <w:rFonts w:hint="eastAsia"/>
          <w:sz w:val="21"/>
          <w:szCs w:val="21"/>
          <w:lang w:val="en-GB"/>
        </w:rPr>
        <w:t>②</w:t>
      </w:r>
      <w:r w:rsidRPr="00F71037">
        <w:rPr>
          <w:sz w:val="21"/>
          <w:szCs w:val="21"/>
          <w:lang w:val="en-GB"/>
        </w:rPr>
        <w:t xml:space="preserve"> for the first transmission occasion </w:t>
      </w:r>
      <m:oMath>
        <m:r>
          <w:rPr>
            <w:rFonts w:ascii="Cambria Math" w:hAnsi="Cambria Math"/>
            <w:sz w:val="21"/>
            <w:szCs w:val="21"/>
            <w:lang w:val="en-GB"/>
          </w:rPr>
          <m:t>i</m:t>
        </m:r>
      </m:oMath>
      <w:r w:rsidRPr="00F71037">
        <w:rPr>
          <w:sz w:val="21"/>
          <w:szCs w:val="21"/>
          <w:lang w:val="en-GB"/>
        </w:rPr>
        <w:t xml:space="preserve"> occurs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i</m:t>
                </m:r>
              </m:sub>
            </m:sSub>
          </m:e>
        </m:nary>
      </m:oMath>
      <w:r w:rsidRPr="00F71037">
        <w:rPr>
          <w:sz w:val="21"/>
          <w:szCs w:val="21"/>
          <w:lang w:val="en-GB"/>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i</m:t>
            </m:r>
          </m:sub>
        </m:sSub>
      </m:oMath>
      <w:r w:rsidRPr="00F71037">
        <w:rPr>
          <w:sz w:val="21"/>
          <w:szCs w:val="21"/>
          <w:lang w:val="en-GB"/>
        </w:rPr>
        <w:t xml:space="preserve"> is the TPC command values that would take effect between the first symbol of the previous nominal time domain window and the first symbol of current nominal time domain window.</w:t>
      </w:r>
    </w:p>
    <w:p w14:paraId="6A526E67" w14:textId="77777777" w:rsidR="000C7B48" w:rsidRDefault="000C7B48" w:rsidP="008F40CC">
      <w:pPr>
        <w:rPr>
          <w:lang w:val="en-GB"/>
        </w:rPr>
      </w:pPr>
    </w:p>
    <w:p w14:paraId="29E75DDA" w14:textId="31A2E557" w:rsidR="00B565F5" w:rsidRDefault="0009178F" w:rsidP="008F40CC">
      <w:pPr>
        <w:rPr>
          <w:lang w:val="en-GB"/>
        </w:rPr>
      </w:pPr>
      <w:r>
        <w:rPr>
          <w:lang w:val="en-GB"/>
        </w:rPr>
        <w:t xml:space="preserve">This lack of clarity may have been the reason that </w:t>
      </w:r>
      <w:r w:rsidR="001670AF">
        <w:rPr>
          <w:lang w:val="en-GB"/>
        </w:rPr>
        <w:t>there were concerns that redefining the cardinality of the TPC commands would lead missed TPC commands when they fall outside of a nominal TDW. We therefore illustrate such a scenario below with the proposed approach</w:t>
      </w:r>
      <w:r w:rsidR="004724ED">
        <w:rPr>
          <w:lang w:val="en-GB"/>
        </w:rPr>
        <w:t>.  In the figure, PUSCH</w:t>
      </w:r>
      <w:r w:rsidR="004724ED" w:rsidRPr="00F71037">
        <w:rPr>
          <w:vertAlign w:val="subscript"/>
          <w:lang w:val="en-GB"/>
        </w:rPr>
        <w:t>1</w:t>
      </w:r>
      <w:r w:rsidR="004724ED">
        <w:rPr>
          <w:lang w:val="en-GB"/>
        </w:rPr>
        <w:t xml:space="preserve"> is scheduled by PDCCH</w:t>
      </w:r>
      <w:r w:rsidR="004724ED" w:rsidRPr="00F71037">
        <w:rPr>
          <w:vertAlign w:val="subscript"/>
          <w:lang w:val="en-GB"/>
        </w:rPr>
        <w:t>1</w:t>
      </w:r>
      <w:r w:rsidR="004724ED">
        <w:rPr>
          <w:lang w:val="en-GB"/>
        </w:rPr>
        <w:t>, while PUSCH</w:t>
      </w:r>
      <w:r w:rsidR="004724ED">
        <w:rPr>
          <w:vertAlign w:val="subscript"/>
          <w:lang w:val="en-GB"/>
        </w:rPr>
        <w:t>2</w:t>
      </w:r>
      <w:r w:rsidR="004724ED">
        <w:rPr>
          <w:lang w:val="en-GB"/>
        </w:rPr>
        <w:t>, PUSCH</w:t>
      </w:r>
      <w:r w:rsidR="004724ED">
        <w:rPr>
          <w:vertAlign w:val="subscript"/>
          <w:lang w:val="en-GB"/>
        </w:rPr>
        <w:t>3</w:t>
      </w:r>
      <w:r w:rsidR="004724ED">
        <w:rPr>
          <w:lang w:val="en-GB"/>
        </w:rPr>
        <w:t>, and PUSCH</w:t>
      </w:r>
      <w:r w:rsidR="004724ED">
        <w:rPr>
          <w:vertAlign w:val="subscript"/>
          <w:lang w:val="en-GB"/>
        </w:rPr>
        <w:t>4</w:t>
      </w:r>
      <w:r w:rsidR="004724ED">
        <w:rPr>
          <w:lang w:val="en-GB"/>
        </w:rPr>
        <w:t xml:space="preserve"> are scheduled using a configured grant.  </w:t>
      </w:r>
      <w:r w:rsidR="004724ED">
        <w:rPr>
          <w:lang w:val="en-GB"/>
        </w:rPr>
        <w:lastRenderedPageBreak/>
        <w:t xml:space="preserve">Relative TPC commands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A</m:t>
            </m:r>
          </m:sub>
        </m:sSub>
      </m:oMath>
      <w:r w:rsidR="004724ED">
        <w:rPr>
          <w:lang w:val="en-GB"/>
        </w:rPr>
        <w:t xml:space="preserve">,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B</m:t>
            </m:r>
          </m:sub>
        </m:sSub>
      </m:oMath>
      <w:r w:rsidR="004724ED">
        <w:rPr>
          <w:lang w:val="en-GB"/>
        </w:rPr>
        <w:t xml:space="preserve">, and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C</m:t>
            </m:r>
          </m:sub>
        </m:sSub>
      </m:oMath>
      <w:r w:rsidR="004724ED">
        <w:rPr>
          <w:lang w:val="en-GB"/>
        </w:rPr>
        <w:t xml:space="preserve"> are carried by DCI 2_2.</w:t>
      </w:r>
      <w:r w:rsidR="00BB1EDF">
        <w:rPr>
          <w:rFonts w:ascii="Times New Roman" w:hAnsi="Times New Roman" w:cs="Times New Roman"/>
        </w:rPr>
        <w:object w:dxaOrig="14377" w:dyaOrig="4429" w14:anchorId="6CADBBAC">
          <v:shape id="_x0000_i1027" type="#_x0000_t75" style="width:496.8pt;height:153.6pt" o:ole="">
            <v:imagedata r:id="rId18" o:title=""/>
          </v:shape>
          <o:OLEObject Type="Embed" ProgID="Visio.Drawing.11" ShapeID="_x0000_i1027" DrawAspect="Content" ObjectID="_1706368530" r:id="rId19"/>
        </w:object>
      </w:r>
    </w:p>
    <w:p w14:paraId="7827AFAB" w14:textId="7E118DD1" w:rsidR="007448E9" w:rsidRPr="00F71037" w:rsidRDefault="007448E9" w:rsidP="008F40CC">
      <w:pPr>
        <w:rPr>
          <w:lang w:val="en-GB"/>
        </w:rPr>
      </w:pPr>
      <w:r>
        <w:rPr>
          <w:lang w:val="en-GB"/>
        </w:rPr>
        <w:t xml:space="preserve">Because </w:t>
      </w:r>
      <w:r w:rsidR="00543D71">
        <w:rPr>
          <w:lang w:val="en-GB"/>
        </w:rPr>
        <w:t>PDCCH</w:t>
      </w:r>
      <w:r w:rsidR="00543D71" w:rsidRPr="00F71037">
        <w:rPr>
          <w:vertAlign w:val="subscript"/>
          <w:lang w:val="en-GB"/>
        </w:rPr>
        <w:t>A</w:t>
      </w:r>
      <w:r w:rsidR="000A0556">
        <w:rPr>
          <w:lang w:val="en-GB"/>
        </w:rPr>
        <w:t xml:space="preserve"> is after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d>
          <m:dPr>
            <m:ctrlPr>
              <w:rPr>
                <w:rFonts w:ascii="Cambria Math" w:hAnsi="Cambria Math"/>
                <w:i/>
                <w:lang w:val="en-GB"/>
              </w:rPr>
            </m:ctrlPr>
          </m:dPr>
          <m:e>
            <m:r>
              <w:rPr>
                <w:rFonts w:ascii="Cambria Math" w:hAnsi="Cambria Math"/>
                <w:lang w:val="en-GB"/>
              </w:rPr>
              <m:t>2</m:t>
            </m:r>
          </m:e>
        </m:d>
      </m:oMath>
      <w:r w:rsidR="000A0556">
        <w:rPr>
          <w:lang w:val="en-GB"/>
        </w:rPr>
        <w:t xml:space="preserve"> symbols earlier than PUSCH</w:t>
      </w:r>
      <w:r w:rsidR="000A0556" w:rsidRPr="00F71037">
        <w:rPr>
          <w:vertAlign w:val="subscript"/>
          <w:lang w:val="en-GB"/>
        </w:rPr>
        <w:t>2</w:t>
      </w:r>
      <w:r w:rsidR="000A0556">
        <w:rPr>
          <w:lang w:val="en-GB"/>
        </w:rPr>
        <w:t xml:space="preserv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B</m:t>
            </m:r>
          </m:sub>
        </m:sSub>
        <m:r>
          <w:rPr>
            <w:rFonts w:ascii="Cambria Math" w:hAnsi="Cambria Math"/>
            <w:lang w:val="en-GB"/>
          </w:rPr>
          <m:t>}</m:t>
        </m:r>
      </m:oMath>
      <w:r w:rsidR="000A0556">
        <w:rPr>
          <w:lang w:val="en-GB"/>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r>
          <w:rPr>
            <w:rFonts w:ascii="Cambria Math" w:hAnsi="Cambria Math"/>
            <w:lang w:val="en-GB"/>
          </w:rPr>
          <m:t>=∅</m:t>
        </m:r>
      </m:oMath>
      <w:r w:rsidR="001670AF">
        <w:rPr>
          <w:lang w:val="en-GB"/>
        </w:rPr>
        <w:t xml:space="preserve">  </w:t>
      </w:r>
      <w:r w:rsidR="000A0556">
        <w:rPr>
          <w:lang w:val="en-GB"/>
        </w:rPr>
        <w:t xml:space="preserve">Similarly,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4</m:t>
            </m:r>
          </m:sub>
        </m:sSub>
        <m:r>
          <w:rPr>
            <w:rFonts w:ascii="Cambria Math" w:hAnsi="Cambria Math"/>
            <w:lang w:val="en-GB"/>
          </w:rPr>
          <m:t>=∅</m:t>
        </m:r>
      </m:oMath>
      <w:r w:rsidR="00543D71">
        <w:rPr>
          <w:lang w:val="en-GB"/>
        </w:rPr>
        <w:t>, since PDCCH</w:t>
      </w:r>
      <w:r w:rsidR="00543D71">
        <w:rPr>
          <w:vertAlign w:val="subscript"/>
          <w:lang w:val="en-GB"/>
        </w:rPr>
        <w:t xml:space="preserve">C </w:t>
      </w:r>
      <w:r w:rsidR="00543D71">
        <w:rPr>
          <w:lang w:val="en-GB"/>
        </w:rPr>
        <w:t xml:space="preserve">is after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d>
          <m:dPr>
            <m:ctrlPr>
              <w:rPr>
                <w:rFonts w:ascii="Cambria Math" w:hAnsi="Cambria Math"/>
                <w:i/>
                <w:lang w:val="en-GB"/>
              </w:rPr>
            </m:ctrlPr>
          </m:dPr>
          <m:e>
            <m:r>
              <w:rPr>
                <w:rFonts w:ascii="Cambria Math" w:hAnsi="Cambria Math"/>
                <w:lang w:val="en-GB"/>
              </w:rPr>
              <m:t>4</m:t>
            </m:r>
          </m:e>
        </m:d>
      </m:oMath>
      <w:r w:rsidR="00543D71">
        <w:rPr>
          <w:lang w:val="en-GB"/>
        </w:rPr>
        <w:t xml:space="preserve"> symbols earlier than PUSCH</w:t>
      </w:r>
      <w:r w:rsidR="00543D71">
        <w:rPr>
          <w:vertAlign w:val="subscript"/>
          <w:lang w:val="en-GB"/>
        </w:rPr>
        <w:t>4</w:t>
      </w:r>
      <w:r w:rsidR="00543D71">
        <w:rPr>
          <w:lang w:val="en-GB"/>
        </w:rPr>
        <w:t>.</w:t>
      </w:r>
      <w:r w:rsidR="001670AF">
        <w:rPr>
          <w:lang w:val="en-GB"/>
        </w:rPr>
        <w:t xml:space="preserve">  Therefore,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1</m:t>
            </m:r>
          </m:sub>
        </m:sSub>
      </m:oMath>
      <w:r>
        <w:rPr>
          <w:lang w:val="en-GB"/>
        </w:rPr>
        <w:t>,</w:t>
      </w:r>
      <w:r w:rsidR="001670AF">
        <w:rPr>
          <w:lang w:val="en-GB"/>
        </w:rPr>
        <w:t xml:space="preserve"> and</w:t>
      </w:r>
      <w:r>
        <w:rPr>
          <w:lang w:val="en-GB"/>
        </w:rPr>
        <w:t xml:space="preserv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4</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3</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B</m:t>
                </m:r>
              </m:sub>
            </m:sSub>
          </m:e>
        </m:d>
      </m:oMath>
      <w:r w:rsidR="001670AF">
        <w:rPr>
          <w:lang w:val="en-GB"/>
        </w:rPr>
        <w:t>.  It can therefore be observed that there are no missed power control co</w:t>
      </w:r>
      <w:r w:rsidR="00EE3D1C">
        <w:rPr>
          <w:lang w:val="en-GB"/>
        </w:rPr>
        <w:t>mmands, since even a power control command that arrives too late for the first PUSCH in the nominal TDW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A</m:t>
            </m:r>
          </m:sub>
        </m:sSub>
        <m:r>
          <w:rPr>
            <w:rFonts w:ascii="Cambria Math" w:hAnsi="Cambria Math"/>
            <w:lang w:val="en-GB"/>
          </w:rPr>
          <m:t>)</m:t>
        </m:r>
      </m:oMath>
      <w:r w:rsidR="00EE3D1C">
        <w:rPr>
          <w:lang w:val="en-GB"/>
        </w:rPr>
        <w:t xml:space="preserve"> is included in the deferred TPC commands used for a following nominal TDW.</w:t>
      </w:r>
      <w:r w:rsidR="0009178F">
        <w:rPr>
          <w:lang w:val="en-GB"/>
        </w:rPr>
        <w:t xml:space="preserve">  This </w:t>
      </w:r>
      <w:proofErr w:type="spellStart"/>
      <w:r w:rsidR="0009178F">
        <w:rPr>
          <w:lang w:val="en-GB"/>
        </w:rPr>
        <w:t>behavior</w:t>
      </w:r>
      <w:proofErr w:type="spellEnd"/>
      <w:r w:rsidR="0009178F">
        <w:rPr>
          <w:lang w:val="en-GB"/>
        </w:rPr>
        <w:t xml:space="preserve"> is implied by the working “</w:t>
      </w:r>
      <w:r w:rsidR="0009178F" w:rsidRPr="0009178F">
        <w:rPr>
          <w:lang w:val="en-GB"/>
        </w:rPr>
        <w:t xml:space="preserve">TPC command values that </w:t>
      </w:r>
      <w:r w:rsidR="0009178F" w:rsidRPr="00F71037">
        <w:rPr>
          <w:u w:val="single"/>
          <w:lang w:val="en-GB"/>
        </w:rPr>
        <w:t>would take effect</w:t>
      </w:r>
      <w:r w:rsidR="0009178F" w:rsidRPr="0009178F">
        <w:rPr>
          <w:lang w:val="en-GB"/>
        </w:rPr>
        <w:t xml:space="preserve"> between the first symbol of the previous nominal time domain window and the first symbol of current nominal time domain window</w:t>
      </w:r>
      <w:r w:rsidR="0009178F">
        <w:rPr>
          <w:lang w:val="en-GB"/>
        </w:rPr>
        <w:t xml:space="preserve">”, but if </w:t>
      </w:r>
      <w:r w:rsidR="00E94A59">
        <w:rPr>
          <w:lang w:val="en-GB"/>
        </w:rPr>
        <w:t xml:space="preserve">the TPC commands were instead those occurring in the nominal TDW, then TPC commands received outside of the nominal TDW could be dropped.  Again, it may be more clear to use the existing set notation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i</m:t>
            </m:r>
          </m:sub>
        </m:sSub>
      </m:oMath>
      <w:r w:rsidR="00E94A59">
        <w:rPr>
          <w:lang w:val="en-GB"/>
        </w:rPr>
        <w:t xml:space="preserve"> as proposed above to avoid such confusion.</w:t>
      </w:r>
    </w:p>
    <w:p w14:paraId="57262116" w14:textId="1650298F" w:rsidR="003011E8" w:rsidRDefault="00733433" w:rsidP="008F40CC">
      <w:pPr>
        <w:rPr>
          <w:lang w:val="en-GB"/>
        </w:rPr>
      </w:pPr>
      <w:r>
        <w:rPr>
          <w:lang w:val="en-GB"/>
        </w:rPr>
        <w:t xml:space="preserve">Regarding the absolute TPC case, there </w:t>
      </w:r>
      <w:r w:rsidR="000859D1">
        <w:rPr>
          <w:lang w:val="en-GB"/>
        </w:rPr>
        <w:t xml:space="preserve">continues to </w:t>
      </w:r>
      <w:r>
        <w:rPr>
          <w:lang w:val="en-GB"/>
        </w:rPr>
        <w:t xml:space="preserve">be some confusion in RAN1.  </w:t>
      </w:r>
      <w:r w:rsidR="000859D1">
        <w:rPr>
          <w:lang w:val="en-GB"/>
        </w:rPr>
        <w:t>As we observed during RAN1#107bis</w:t>
      </w:r>
      <w:r>
        <w:rPr>
          <w:lang w:val="en-GB"/>
        </w:rPr>
        <w:t xml:space="preserve">, our understanding is that absolute TPC is not supported for DCI format 2_2.  In section 7.1 of 38.213, values for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d>
          <m:dPr>
            <m:ctrlPr>
              <w:rPr>
                <w:rFonts w:ascii="Cambria Math" w:hAnsi="Cambria Math"/>
                <w:i/>
                <w:lang w:val="en-GB"/>
              </w:rPr>
            </m:ctrlPr>
          </m:dPr>
          <m:e>
            <m:r>
              <w:rPr>
                <w:rFonts w:ascii="Cambria Math" w:hAnsi="Cambria Math"/>
                <w:lang w:val="en-GB"/>
              </w:rPr>
              <m:t>i</m:t>
            </m:r>
          </m:e>
        </m:d>
      </m:oMath>
      <w:r>
        <w:rPr>
          <w:lang w:val="en-GB"/>
        </w:rPr>
        <w:t xml:space="preserve"> are only provided for accumulated TPC, and so the timing for absolute TPC is not given in the specs.  </w:t>
      </w:r>
      <w:r w:rsidR="000859D1">
        <w:rPr>
          <w:lang w:val="en-GB"/>
        </w:rPr>
        <w:t xml:space="preserve">In the absence of such timing, it is not possible to determine </w:t>
      </w:r>
      <w:r w:rsidR="00210B1D">
        <w:rPr>
          <w:lang w:val="en-GB"/>
        </w:rPr>
        <w:t xml:space="preserve">how close a PDCCH can arrive in time to a PUSCH transmission in order for the UE to apply the TPC command in the PDCCH to the PUSCH.  </w:t>
      </w:r>
      <w:r w:rsidR="00CB2FB0">
        <w:rPr>
          <w:lang w:val="en-GB"/>
        </w:rPr>
        <w:t xml:space="preserve">Furthermore, the </w:t>
      </w:r>
      <w:r w:rsidR="00CB2FB0" w:rsidRPr="00CB2FB0">
        <w:rPr>
          <w:lang w:val="en-GB"/>
        </w:rPr>
        <w:t xml:space="preserve">power control adjustment state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eastAsia="MS PGothic" w:hAnsi="Cambria Math" w:cs="Times New Roman"/>
            <w:sz w:val="20"/>
            <w:szCs w:val="20"/>
          </w:rPr>
          <m:t xml:space="preserve"> </m:t>
        </m:r>
      </m:oMath>
      <w:r w:rsidR="00CB2FB0">
        <w:rPr>
          <w:lang w:val="en-GB"/>
        </w:rPr>
        <w:t xml:space="preserve">is defined by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PUSCH,b,f,c</m:t>
            </m:r>
          </m:sub>
        </m:sSub>
        <m:r>
          <w:rPr>
            <w:rFonts w:ascii="Cambria Math" w:hAnsi="Cambria Math"/>
            <w:lang w:val="en-GB"/>
          </w:rPr>
          <m:t>(i,l)</m:t>
        </m:r>
      </m:oMath>
      <w:r w:rsidR="00CB2FB0">
        <w:rPr>
          <w:lang w:val="en-GB"/>
        </w:rPr>
        <w:t xml:space="preserve">, and so refers to a particular transmission occasion </w:t>
      </w:r>
      <m:oMath>
        <m:r>
          <w:rPr>
            <w:rFonts w:ascii="Cambria Math" w:hAnsi="Cambria Math"/>
            <w:lang w:val="en-GB"/>
          </w:rPr>
          <m:t>i</m:t>
        </m:r>
      </m:oMath>
      <w:r w:rsidR="00CB2FB0">
        <w:rPr>
          <w:lang w:val="en-GB"/>
        </w:rPr>
        <w:t xml:space="preserve">.  Since there is no dependence to prior values of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oMath>
      <w:r w:rsidR="00CB2FB0">
        <w:rPr>
          <w:lang w:val="en-GB"/>
        </w:rPr>
        <w:t xml:space="preserve">, then </w:t>
      </w:r>
      <m:oMath>
        <m:sSub>
          <m:sSubPr>
            <m:ctrlPr>
              <w:rPr>
                <w:rFonts w:ascii="Cambria Math" w:hAnsi="Cambria Math"/>
                <w:i/>
                <w:lang w:val="en-GB"/>
              </w:rPr>
            </m:ctrlPr>
          </m:sSubPr>
          <m:e>
            <m:r>
              <w:rPr>
                <w:rFonts w:ascii="Cambria Math" w:hAnsi="Cambria Math"/>
                <w:lang w:val="en-GB"/>
              </w:rPr>
              <m:t>δ</m:t>
            </m:r>
          </m:e>
          <m:sub>
            <m:r>
              <w:rPr>
                <w:rFonts w:ascii="Cambria Math" w:hAnsi="Cambria Math"/>
                <w:lang w:val="en-GB"/>
              </w:rPr>
              <m:t>PUSCH,b,f,c</m:t>
            </m:r>
          </m:sub>
        </m:sSub>
        <m:r>
          <w:rPr>
            <w:rFonts w:ascii="Cambria Math" w:hAnsi="Cambria Math"/>
            <w:lang w:val="en-GB"/>
          </w:rPr>
          <m:t>(i,l)</m:t>
        </m:r>
      </m:oMath>
      <w:r w:rsidR="00CB2FB0">
        <w:rPr>
          <w:lang w:val="en-GB"/>
        </w:rPr>
        <w:t xml:space="preserve"> seems to influence only transmission occasion </w:t>
      </w:r>
      <m:oMath>
        <m:r>
          <w:rPr>
            <w:rFonts w:ascii="Cambria Math" w:hAnsi="Cambria Math"/>
            <w:lang w:val="en-GB"/>
          </w:rPr>
          <m:t>i</m:t>
        </m:r>
      </m:oMath>
      <w:r w:rsidR="00CB2FB0">
        <w:rPr>
          <w:lang w:val="en-GB"/>
        </w:rPr>
        <w:t xml:space="preserve">.  </w:t>
      </w:r>
      <w:r w:rsidR="00C932CF">
        <w:rPr>
          <w:lang w:val="en-GB"/>
        </w:rPr>
        <w:t xml:space="preserve">Also, power control parameters are provided in </w:t>
      </w:r>
      <w:proofErr w:type="spellStart"/>
      <w:r w:rsidR="00C932CF" w:rsidRPr="00F71037">
        <w:rPr>
          <w:i/>
          <w:iCs/>
          <w:lang w:val="en-GB"/>
        </w:rPr>
        <w:t>ConfiguredGrantConfig</w:t>
      </w:r>
      <w:proofErr w:type="spellEnd"/>
      <w:r w:rsidR="00C932CF">
        <w:rPr>
          <w:lang w:val="en-GB"/>
        </w:rPr>
        <w:t xml:space="preserve"> for configured grant operation, </w:t>
      </w:r>
      <w:r w:rsidR="00C14604">
        <w:rPr>
          <w:lang w:val="en-GB"/>
        </w:rPr>
        <w:t xml:space="preserve">and </w:t>
      </w:r>
      <w:proofErr w:type="spellStart"/>
      <w:r w:rsidR="00C14604" w:rsidRPr="00222F6E">
        <w:rPr>
          <w:i/>
        </w:rPr>
        <w:t>tpc</w:t>
      </w:r>
      <w:proofErr w:type="spellEnd"/>
      <w:r w:rsidR="00C14604" w:rsidRPr="00222F6E">
        <w:rPr>
          <w:i/>
        </w:rPr>
        <w:t>-Accumulation</w:t>
      </w:r>
      <w:r w:rsidR="00C14604">
        <w:rPr>
          <w:lang w:val="en-GB"/>
        </w:rPr>
        <w:t xml:space="preserve"> is not included in this IE, and so it is not possible to use absolute TPC </w:t>
      </w:r>
      <w:r w:rsidR="00FE6FA5">
        <w:rPr>
          <w:lang w:val="en-GB"/>
        </w:rPr>
        <w:t xml:space="preserve">at least when only configured for PUSCH with </w:t>
      </w:r>
      <w:proofErr w:type="spellStart"/>
      <w:r w:rsidR="00FE6FA5" w:rsidRPr="002A1584">
        <w:rPr>
          <w:i/>
          <w:iCs/>
          <w:lang w:val="en-GB"/>
        </w:rPr>
        <w:t>ConfiguredGrantConfig</w:t>
      </w:r>
      <w:proofErr w:type="spellEnd"/>
      <w:r w:rsidR="00C14604">
        <w:rPr>
          <w:lang w:val="en-GB"/>
        </w:rPr>
        <w:t xml:space="preserve">. </w:t>
      </w:r>
      <w:r w:rsidR="00B76DC8">
        <w:rPr>
          <w:lang w:val="en-GB"/>
        </w:rPr>
        <w:t xml:space="preserve">Lastly, the issue of support for absolute power control </w:t>
      </w:r>
      <w:r w:rsidR="00AA7B2B">
        <w:rPr>
          <w:lang w:val="en-GB"/>
        </w:rPr>
        <w:t xml:space="preserve">with DCI 2_2 was </w:t>
      </w:r>
      <w:r w:rsidR="00B76DC8">
        <w:rPr>
          <w:lang w:val="en-GB"/>
        </w:rPr>
        <w:t xml:space="preserve">discussed </w:t>
      </w:r>
      <w:r w:rsidR="00AA7B2B">
        <w:rPr>
          <w:lang w:val="en-GB"/>
        </w:rPr>
        <w:t xml:space="preserve">in </w:t>
      </w:r>
      <w:r w:rsidR="00B76DC8">
        <w:rPr>
          <w:lang w:val="en-GB"/>
        </w:rPr>
        <w:t>RAN1#</w:t>
      </w:r>
      <w:r w:rsidR="00896113">
        <w:rPr>
          <w:lang w:val="en-GB"/>
        </w:rPr>
        <w:t>103 and #</w:t>
      </w:r>
      <w:r w:rsidR="00B76DC8">
        <w:rPr>
          <w:lang w:val="en-GB"/>
        </w:rPr>
        <w:t>104, and this did not result in any changes to the specification</w:t>
      </w:r>
      <w:r w:rsidR="00896113">
        <w:rPr>
          <w:lang w:val="en-GB"/>
        </w:rPr>
        <w:t xml:space="preserve"> (the related CR </w:t>
      </w:r>
      <w:r w:rsidR="00CE733A">
        <w:rPr>
          <w:lang w:val="en-GB"/>
        </w:rPr>
        <w:fldChar w:fldCharType="begin"/>
      </w:r>
      <w:r w:rsidR="00CE733A">
        <w:rPr>
          <w:lang w:val="en-GB"/>
        </w:rPr>
        <w:instrText xml:space="preserve"> REF _Ref95123779 \r \h </w:instrText>
      </w:r>
      <w:r w:rsidR="00CE733A">
        <w:rPr>
          <w:lang w:val="en-GB"/>
        </w:rPr>
      </w:r>
      <w:r w:rsidR="00CE733A">
        <w:rPr>
          <w:lang w:val="en-GB"/>
        </w:rPr>
        <w:fldChar w:fldCharType="separate"/>
      </w:r>
      <w:r w:rsidR="00CE733A">
        <w:rPr>
          <w:lang w:val="en-GB"/>
        </w:rPr>
        <w:t>[4]</w:t>
      </w:r>
      <w:r w:rsidR="00CE733A">
        <w:rPr>
          <w:lang w:val="en-GB"/>
        </w:rPr>
        <w:fldChar w:fldCharType="end"/>
      </w:r>
      <w:r w:rsidR="00CE733A">
        <w:rPr>
          <w:lang w:val="en-GB"/>
        </w:rPr>
        <w:t xml:space="preserve"> </w:t>
      </w:r>
      <w:r w:rsidR="00896113">
        <w:rPr>
          <w:lang w:val="en-GB"/>
        </w:rPr>
        <w:t>was rejected)</w:t>
      </w:r>
      <w:r w:rsidR="00B76DC8">
        <w:rPr>
          <w:lang w:val="en-GB"/>
        </w:rPr>
        <w:t xml:space="preserve">, nor conclusions to clarify the </w:t>
      </w:r>
      <w:proofErr w:type="spellStart"/>
      <w:r w:rsidR="00B76DC8">
        <w:rPr>
          <w:lang w:val="en-GB"/>
        </w:rPr>
        <w:t>behavior</w:t>
      </w:r>
      <w:proofErr w:type="spellEnd"/>
      <w:r w:rsidR="00B76DC8">
        <w:rPr>
          <w:lang w:val="en-GB"/>
        </w:rPr>
        <w:t xml:space="preserve">. </w:t>
      </w:r>
      <w:r w:rsidR="00113E79">
        <w:rPr>
          <w:lang w:val="en-GB"/>
        </w:rPr>
        <w:t xml:space="preserve">Therefore, we suggest that the case of absolute TPC </w:t>
      </w:r>
      <w:r w:rsidR="00896113">
        <w:rPr>
          <w:lang w:val="en-GB"/>
        </w:rPr>
        <w:t>in the working assumption is not confirmed, at least until a Rel-16 CR is agreed to introduce the support for absolute TPC</w:t>
      </w:r>
      <w:r w:rsidR="00AB4410">
        <w:rPr>
          <w:lang w:val="en-GB"/>
        </w:rPr>
        <w:t xml:space="preserve"> for DCI 2_2</w:t>
      </w:r>
      <w:r w:rsidR="00113E79">
        <w:rPr>
          <w:lang w:val="en-GB"/>
        </w:rPr>
        <w:t>.</w:t>
      </w:r>
    </w:p>
    <w:p w14:paraId="611829C2" w14:textId="54F12EFD" w:rsidR="003D3123" w:rsidRPr="00B51F17" w:rsidRDefault="003D3123" w:rsidP="00B51F17">
      <w:pPr>
        <w:spacing w:after="0"/>
        <w:rPr>
          <w:rFonts w:cstheme="minorHAnsi"/>
          <w:b/>
          <w:bCs/>
          <w:lang w:val="en-GB"/>
        </w:rPr>
      </w:pPr>
      <w:r w:rsidRPr="00B51F17">
        <w:rPr>
          <w:rFonts w:cstheme="minorHAnsi"/>
          <w:b/>
          <w:bCs/>
          <w:lang w:val="en-GB"/>
        </w:rPr>
        <w:t>Observation</w:t>
      </w:r>
      <w:r w:rsidR="005B1410" w:rsidRPr="00BD0994">
        <w:rPr>
          <w:rFonts w:cstheme="minorHAnsi"/>
          <w:b/>
          <w:bCs/>
          <w:lang w:val="en-GB"/>
        </w:rPr>
        <w:t>s</w:t>
      </w:r>
      <w:r w:rsidR="00A81FE1" w:rsidRPr="00B51F17">
        <w:rPr>
          <w:rFonts w:cstheme="minorHAnsi"/>
          <w:b/>
          <w:bCs/>
          <w:lang w:val="en-GB"/>
        </w:rPr>
        <w:t xml:space="preserve"> 1</w:t>
      </w:r>
      <w:r w:rsidR="00F30DD8">
        <w:rPr>
          <w:rFonts w:cstheme="minorHAnsi"/>
          <w:b/>
          <w:bCs/>
          <w:lang w:val="en-GB"/>
        </w:rPr>
        <w:t>6 &amp; 17</w:t>
      </w:r>
    </w:p>
    <w:p w14:paraId="1E0275B6" w14:textId="4FCA9D94" w:rsidR="003D3123" w:rsidRPr="00B51F17" w:rsidRDefault="003D3123" w:rsidP="00B51F17">
      <w:pPr>
        <w:pStyle w:val="ListParagraph"/>
        <w:numPr>
          <w:ilvl w:val="0"/>
          <w:numId w:val="132"/>
        </w:numPr>
        <w:rPr>
          <w:rFonts w:asciiTheme="minorHAnsi" w:hAnsiTheme="minorHAnsi" w:cstheme="minorHAnsi"/>
          <w:szCs w:val="22"/>
          <w:lang w:val="en-GB"/>
        </w:rPr>
      </w:pPr>
      <w:r w:rsidRPr="00B51F17">
        <w:rPr>
          <w:rFonts w:asciiTheme="minorHAnsi" w:hAnsiTheme="minorHAnsi" w:cstheme="minorHAnsi"/>
          <w:szCs w:val="22"/>
          <w:lang w:val="en-GB"/>
        </w:rPr>
        <w:t>Deferring the action of DCI format 2_2 TPC to after a CTDW seems straightforward to specify</w:t>
      </w:r>
    </w:p>
    <w:p w14:paraId="2B0C0DE9" w14:textId="402222BF" w:rsidR="003D3123" w:rsidRPr="00B51F17" w:rsidRDefault="003D3123" w:rsidP="00B51F17">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 xml:space="preserve">The power control adjustment state </w:t>
      </w:r>
      <m:oMath>
        <m:sSub>
          <m:sSubPr>
            <m:ctrlPr>
              <w:rPr>
                <w:rFonts w:ascii="Cambria Math" w:eastAsia="MS PGothic" w:hAnsi="Cambria Math" w:cstheme="minorHAnsi"/>
                <w:i/>
                <w:iCs/>
                <w:szCs w:val="22"/>
              </w:rPr>
            </m:ctrlPr>
          </m:sSubPr>
          <m:e>
            <m:r>
              <w:rPr>
                <w:rFonts w:ascii="Cambria Math" w:hAnsi="Cambria Math" w:cstheme="minorHAnsi"/>
                <w:szCs w:val="22"/>
              </w:rPr>
              <m:t>f</m:t>
            </m:r>
          </m:e>
          <m:sub>
            <m:r>
              <w:rPr>
                <w:rFonts w:ascii="Cambria Math" w:hAnsi="Cambria Math" w:cstheme="minorHAnsi"/>
                <w:szCs w:val="22"/>
              </w:rPr>
              <m:t>b,f,c</m:t>
            </m:r>
          </m:sub>
        </m:sSub>
        <m:d>
          <m:dPr>
            <m:ctrlPr>
              <w:rPr>
                <w:rFonts w:ascii="Cambria Math" w:eastAsia="MS PGothic" w:hAnsi="Cambria Math" w:cstheme="minorHAnsi"/>
                <w:i/>
                <w:iCs/>
                <w:szCs w:val="22"/>
              </w:rPr>
            </m:ctrlPr>
          </m:dPr>
          <m:e>
            <m:r>
              <w:rPr>
                <w:rFonts w:ascii="Cambria Math" w:hAnsi="Cambria Math" w:cstheme="minorHAnsi"/>
                <w:szCs w:val="22"/>
              </w:rPr>
              <m:t>i,l</m:t>
            </m:r>
          </m:e>
        </m:d>
      </m:oMath>
      <w:r w:rsidRPr="00B51F17">
        <w:rPr>
          <w:rFonts w:asciiTheme="minorHAnsi" w:hAnsiTheme="minorHAnsi" w:cstheme="minorHAnsi"/>
          <w:szCs w:val="22"/>
          <w:lang w:val="en-GB"/>
        </w:rPr>
        <w:t xml:space="preserve"> </w:t>
      </w:r>
      <w:r w:rsidR="00DB6712" w:rsidRPr="00B51F17">
        <w:rPr>
          <w:rFonts w:asciiTheme="minorHAnsi" w:hAnsiTheme="minorHAnsi" w:cstheme="minorHAnsi"/>
          <w:szCs w:val="22"/>
          <w:lang w:val="en-GB"/>
        </w:rPr>
        <w:t xml:space="preserve">for the </w:t>
      </w:r>
      <w:r w:rsidR="005E2E8F" w:rsidRPr="00B51F17">
        <w:rPr>
          <w:rFonts w:asciiTheme="minorHAnsi" w:hAnsiTheme="minorHAnsi" w:cstheme="minorHAnsi"/>
          <w:szCs w:val="22"/>
          <w:lang w:val="en-GB"/>
        </w:rPr>
        <w:t xml:space="preserve">transmission occasions </w:t>
      </w:r>
      <w:r w:rsidR="00DB6712" w:rsidRPr="00B51F17">
        <w:rPr>
          <w:rFonts w:asciiTheme="minorHAnsi" w:hAnsiTheme="minorHAnsi" w:cstheme="minorHAnsi"/>
          <w:szCs w:val="22"/>
          <w:lang w:val="en-GB"/>
        </w:rPr>
        <w:t xml:space="preserve">in a CTDW </w:t>
      </w:r>
      <w:r w:rsidRPr="00B51F17">
        <w:rPr>
          <w:rFonts w:asciiTheme="minorHAnsi" w:hAnsiTheme="minorHAnsi" w:cstheme="minorHAnsi"/>
          <w:szCs w:val="22"/>
          <w:lang w:val="en-GB"/>
        </w:rPr>
        <w:t xml:space="preserve">can be set to the </w:t>
      </w:r>
      <w:r w:rsidR="00DB6712" w:rsidRPr="00B51F17">
        <w:rPr>
          <w:rFonts w:asciiTheme="minorHAnsi" w:hAnsiTheme="minorHAnsi" w:cstheme="minorHAnsi"/>
          <w:szCs w:val="22"/>
          <w:lang w:val="en-GB"/>
        </w:rPr>
        <w:t xml:space="preserve">Rel-15/16 </w:t>
      </w:r>
      <w:r w:rsidRPr="00B51F17">
        <w:rPr>
          <w:rFonts w:asciiTheme="minorHAnsi" w:hAnsiTheme="minorHAnsi" w:cstheme="minorHAnsi"/>
          <w:szCs w:val="22"/>
          <w:lang w:val="en-GB"/>
        </w:rPr>
        <w:t xml:space="preserve">value </w:t>
      </w:r>
      <w:r w:rsidR="00DB6712" w:rsidRPr="00B51F17">
        <w:rPr>
          <w:rFonts w:asciiTheme="minorHAnsi" w:hAnsiTheme="minorHAnsi" w:cstheme="minorHAnsi"/>
          <w:szCs w:val="22"/>
          <w:lang w:val="en-GB"/>
        </w:rPr>
        <w:t xml:space="preserve">for the first </w:t>
      </w:r>
      <w:r w:rsidR="005E2E8F" w:rsidRPr="00B51F17">
        <w:rPr>
          <w:rFonts w:asciiTheme="minorHAnsi" w:hAnsiTheme="minorHAnsi" w:cstheme="minorHAnsi"/>
          <w:szCs w:val="22"/>
          <w:lang w:val="en-GB"/>
        </w:rPr>
        <w:t xml:space="preserve">occasion </w:t>
      </w:r>
      <w:r w:rsidR="00DB6712" w:rsidRPr="00B51F17">
        <w:rPr>
          <w:rFonts w:asciiTheme="minorHAnsi" w:hAnsiTheme="minorHAnsi" w:cstheme="minorHAnsi"/>
          <w:szCs w:val="22"/>
          <w:lang w:val="en-GB"/>
        </w:rPr>
        <w:t>of the CTDW</w:t>
      </w:r>
    </w:p>
    <w:p w14:paraId="6902C0A7" w14:textId="328596A0" w:rsidR="00DB6712" w:rsidRPr="00B51F17" w:rsidRDefault="00DB6712" w:rsidP="00DB6712">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lastRenderedPageBreak/>
        <w:t>Accumulated power that is deferred from the CTDW can be added in the first transmission after the CTDW based on the Rel-15</w:t>
      </w:r>
      <w:r w:rsidR="004D18C2" w:rsidRPr="00B51F17">
        <w:rPr>
          <w:rFonts w:asciiTheme="minorHAnsi" w:hAnsiTheme="minorHAnsi" w:cstheme="minorHAnsi"/>
          <w:szCs w:val="22"/>
          <w:lang w:val="en-GB"/>
        </w:rPr>
        <w:t>/16</w:t>
      </w:r>
      <w:r w:rsidRPr="00B51F17">
        <w:rPr>
          <w:rFonts w:asciiTheme="minorHAnsi" w:hAnsiTheme="minorHAnsi" w:cstheme="minorHAnsi"/>
          <w:szCs w:val="22"/>
          <w:lang w:val="en-GB"/>
        </w:rPr>
        <w:t xml:space="preserve"> expression </w:t>
      </w:r>
      <m:oMath>
        <m:nary>
          <m:naryPr>
            <m:chr m:val="∑"/>
            <m:limLoc m:val="undOvr"/>
            <m:ctrlPr>
              <w:rPr>
                <w:rFonts w:ascii="Cambria Math" w:hAnsi="Cambria Math" w:cstheme="minorHAnsi"/>
                <w:i/>
                <w:szCs w:val="22"/>
              </w:rPr>
            </m:ctrlPr>
          </m:naryPr>
          <m:sub>
            <m:r>
              <w:rPr>
                <w:rFonts w:ascii="Cambria Math" w:hAnsi="Cambria Math" w:cstheme="minorHAnsi"/>
                <w:szCs w:val="22"/>
              </w:rPr>
              <m:t>m=0</m:t>
            </m:r>
          </m:sub>
          <m:sup>
            <m:r>
              <w:rPr>
                <w:rFonts w:ascii="Cambria Math" w:hAnsi="Cambria Math" w:cstheme="minorHAnsi"/>
                <w:szCs w:val="22"/>
              </w:rPr>
              <m:t>C</m:t>
            </m:r>
            <m:d>
              <m:dPr>
                <m:ctrlPr>
                  <w:rPr>
                    <w:rFonts w:ascii="Cambria Math" w:hAnsi="Cambria Math" w:cstheme="minorHAnsi"/>
                    <w:i/>
                    <w:szCs w:val="22"/>
                  </w:rPr>
                </m:ctrlPr>
              </m:dPr>
              <m:e>
                <m:sSub>
                  <m:sSubPr>
                    <m:ctrlPr>
                      <w:rPr>
                        <w:rFonts w:ascii="Cambria Math" w:hAnsi="Cambria Math" w:cstheme="minorHAnsi"/>
                        <w:i/>
                        <w:szCs w:val="22"/>
                      </w:rPr>
                    </m:ctrlPr>
                  </m:sSubPr>
                  <m:e>
                    <m:r>
                      <w:rPr>
                        <w:rFonts w:ascii="Cambria Math" w:hAnsi="Cambria Math" w:cstheme="minorHAnsi"/>
                        <w:szCs w:val="22"/>
                      </w:rPr>
                      <m:t>D</m:t>
                    </m:r>
                  </m:e>
                  <m:sub>
                    <m:r>
                      <w:rPr>
                        <w:rFonts w:ascii="Cambria Math" w:hAnsi="Cambria Math" w:cstheme="minorHAnsi"/>
                        <w:szCs w:val="22"/>
                      </w:rPr>
                      <m:t>i</m:t>
                    </m:r>
                  </m:sub>
                </m:sSub>
              </m:e>
            </m:d>
            <m:r>
              <w:rPr>
                <w:rFonts w:ascii="Cambria Math" w:hAnsi="Cambria Math" w:cstheme="minorHAnsi"/>
                <w:szCs w:val="22"/>
              </w:rPr>
              <m:t>-1</m:t>
            </m:r>
          </m:sup>
          <m:e>
            <m:sSub>
              <m:sSubPr>
                <m:ctrlPr>
                  <w:rPr>
                    <w:rFonts w:ascii="Cambria Math" w:hAnsi="Cambria Math" w:cstheme="minorHAnsi"/>
                    <w:i/>
                    <w:szCs w:val="22"/>
                  </w:rPr>
                </m:ctrlPr>
              </m:sSubPr>
              <m:e>
                <m:r>
                  <w:rPr>
                    <w:rFonts w:ascii="Cambria Math" w:hAnsi="Cambria Math" w:cstheme="minorHAnsi"/>
                    <w:szCs w:val="22"/>
                  </w:rPr>
                  <m:t>δ</m:t>
                </m:r>
              </m:e>
              <m:sub>
                <m:r>
                  <w:rPr>
                    <w:rFonts w:ascii="Cambria Math" w:hAnsi="Cambria Math" w:cstheme="minorHAnsi"/>
                    <w:szCs w:val="22"/>
                  </w:rPr>
                  <m:t>PUSCH,b,f,c</m:t>
                </m:r>
              </m:sub>
            </m:sSub>
            <m:d>
              <m:dPr>
                <m:ctrlPr>
                  <w:rPr>
                    <w:rFonts w:ascii="Cambria Math" w:hAnsi="Cambria Math" w:cstheme="minorHAnsi"/>
                    <w:i/>
                    <w:szCs w:val="22"/>
                  </w:rPr>
                </m:ctrlPr>
              </m:dPr>
              <m:e>
                <m:r>
                  <w:rPr>
                    <w:rFonts w:ascii="Cambria Math" w:hAnsi="Cambria Math" w:cstheme="minorHAnsi"/>
                    <w:szCs w:val="22"/>
                  </w:rPr>
                  <m:t>m,l</m:t>
                </m:r>
              </m:e>
            </m:d>
          </m:e>
        </m:nary>
      </m:oMath>
    </w:p>
    <w:p w14:paraId="49F0381D" w14:textId="49225A77" w:rsidR="002A0780" w:rsidRPr="00B51F17" w:rsidRDefault="002A0780" w:rsidP="002A0780">
      <w:pPr>
        <w:pStyle w:val="ListParagraph"/>
        <w:numPr>
          <w:ilvl w:val="0"/>
          <w:numId w:val="132"/>
        </w:numPr>
        <w:rPr>
          <w:rFonts w:asciiTheme="minorHAnsi" w:hAnsiTheme="minorHAnsi" w:cstheme="minorHAnsi"/>
          <w:szCs w:val="22"/>
          <w:lang w:val="en-GB"/>
        </w:rPr>
      </w:pPr>
      <w:r w:rsidRPr="00B51F17">
        <w:rPr>
          <w:rFonts w:asciiTheme="minorHAnsi" w:hAnsiTheme="minorHAnsi" w:cstheme="minorHAnsi"/>
          <w:szCs w:val="22"/>
          <w:lang w:val="en-GB"/>
        </w:rPr>
        <w:t>Absolute TPC does not seem to be supported for DCI format 2_2</w:t>
      </w:r>
    </w:p>
    <w:p w14:paraId="45F55E99" w14:textId="52541D4B" w:rsidR="002A0780" w:rsidRDefault="002A0780" w:rsidP="002A0780">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 xml:space="preserve">There is no value for </w:t>
      </w:r>
      <m:oMath>
        <m:sSub>
          <m:sSubPr>
            <m:ctrlPr>
              <w:rPr>
                <w:rFonts w:ascii="Cambria Math" w:hAnsi="Cambria Math" w:cstheme="minorHAnsi"/>
                <w:i/>
                <w:szCs w:val="22"/>
                <w:lang w:val="en-GB"/>
              </w:rPr>
            </m:ctrlPr>
          </m:sSubPr>
          <m:e>
            <m:r>
              <w:rPr>
                <w:rFonts w:ascii="Cambria Math" w:hAnsi="Cambria Math" w:cstheme="minorHAnsi"/>
                <w:szCs w:val="22"/>
                <w:lang w:val="en-GB"/>
              </w:rPr>
              <m:t>K</m:t>
            </m:r>
          </m:e>
          <m:sub>
            <m:r>
              <w:rPr>
                <w:rFonts w:ascii="Cambria Math" w:hAnsi="Cambria Math" w:cstheme="minorHAnsi"/>
                <w:szCs w:val="22"/>
                <w:lang w:val="en-GB"/>
              </w:rPr>
              <m:t>PUSCH</m:t>
            </m:r>
          </m:sub>
        </m:sSub>
        <m:d>
          <m:dPr>
            <m:ctrlPr>
              <w:rPr>
                <w:rFonts w:ascii="Cambria Math" w:hAnsi="Cambria Math" w:cstheme="minorHAnsi"/>
                <w:i/>
                <w:szCs w:val="22"/>
                <w:lang w:val="en-GB"/>
              </w:rPr>
            </m:ctrlPr>
          </m:dPr>
          <m:e>
            <m:r>
              <w:rPr>
                <w:rFonts w:ascii="Cambria Math" w:hAnsi="Cambria Math" w:cstheme="minorHAnsi"/>
                <w:szCs w:val="22"/>
                <w:lang w:val="en-GB"/>
              </w:rPr>
              <m:t>i</m:t>
            </m:r>
          </m:e>
        </m:d>
      </m:oMath>
      <w:r w:rsidRPr="00B51F17">
        <w:rPr>
          <w:rFonts w:asciiTheme="minorHAnsi" w:hAnsiTheme="minorHAnsi" w:cstheme="minorHAnsi"/>
          <w:szCs w:val="22"/>
          <w:lang w:val="en-GB"/>
        </w:rPr>
        <w:t xml:space="preserve"> given in 38.213 to define the timing for this case</w:t>
      </w:r>
      <w:r w:rsidR="00AA7B2B">
        <w:rPr>
          <w:rFonts w:asciiTheme="minorHAnsi" w:hAnsiTheme="minorHAnsi" w:cstheme="minorHAnsi"/>
          <w:szCs w:val="22"/>
          <w:lang w:val="en-GB"/>
        </w:rPr>
        <w:t>, and proposals to add it in RAN1#104 were not agreed.</w:t>
      </w:r>
    </w:p>
    <w:p w14:paraId="6D3A8D12" w14:textId="7B35081B" w:rsidR="005E0FEC" w:rsidRPr="00B51F17" w:rsidRDefault="005E0FEC" w:rsidP="002A0780">
      <w:pPr>
        <w:pStyle w:val="ListParagraph"/>
        <w:numPr>
          <w:ilvl w:val="1"/>
          <w:numId w:val="132"/>
        </w:numPr>
        <w:rPr>
          <w:rFonts w:asciiTheme="minorHAnsi" w:hAnsiTheme="minorHAnsi" w:cstheme="minorHAnsi"/>
          <w:szCs w:val="22"/>
          <w:lang w:val="en-GB"/>
        </w:rPr>
      </w:pPr>
      <w:r>
        <w:rPr>
          <w:rFonts w:asciiTheme="minorHAnsi" w:hAnsiTheme="minorHAnsi" w:cstheme="minorHAnsi"/>
          <w:szCs w:val="22"/>
          <w:lang w:val="en-GB"/>
        </w:rPr>
        <w:t>There is no parameter to configure it for configured grant operation</w:t>
      </w:r>
    </w:p>
    <w:p w14:paraId="71197396" w14:textId="7E2F51FF" w:rsidR="002A0780" w:rsidRPr="00B51F17" w:rsidRDefault="002A0780" w:rsidP="00B51F17">
      <w:pPr>
        <w:pStyle w:val="ListParagraph"/>
        <w:numPr>
          <w:ilvl w:val="1"/>
          <w:numId w:val="132"/>
        </w:numPr>
        <w:rPr>
          <w:rFonts w:asciiTheme="minorHAnsi" w:hAnsiTheme="minorHAnsi" w:cstheme="minorHAnsi"/>
          <w:szCs w:val="22"/>
          <w:lang w:val="en-GB"/>
        </w:rPr>
      </w:pPr>
      <w:r w:rsidRPr="00B51F17">
        <w:rPr>
          <w:rFonts w:asciiTheme="minorHAnsi" w:hAnsiTheme="minorHAnsi" w:cstheme="minorHAnsi"/>
          <w:szCs w:val="22"/>
          <w:lang w:val="en-GB"/>
        </w:rPr>
        <w:t xml:space="preserve">The intended </w:t>
      </w:r>
      <w:r w:rsidR="00EB753F">
        <w:rPr>
          <w:rFonts w:asciiTheme="minorHAnsi" w:hAnsiTheme="minorHAnsi" w:cstheme="minorHAnsi"/>
          <w:szCs w:val="22"/>
          <w:lang w:val="en-GB"/>
        </w:rPr>
        <w:t xml:space="preserve">operation </w:t>
      </w:r>
      <w:r w:rsidRPr="00B51F17">
        <w:rPr>
          <w:rFonts w:asciiTheme="minorHAnsi" w:hAnsiTheme="minorHAnsi" w:cstheme="minorHAnsi"/>
          <w:szCs w:val="22"/>
          <w:lang w:val="en-GB"/>
        </w:rPr>
        <w:t>for absolute TPC seems to be for single slot transmission</w:t>
      </w:r>
    </w:p>
    <w:p w14:paraId="0950B4FA" w14:textId="43A48118" w:rsidR="00A60504" w:rsidRPr="00B51F17" w:rsidRDefault="00E8585E" w:rsidP="00B51F17">
      <w:pPr>
        <w:spacing w:after="0"/>
        <w:rPr>
          <w:rFonts w:cstheme="minorHAnsi"/>
          <w:b/>
          <w:bCs/>
          <w:lang w:val="en-GB"/>
        </w:rPr>
      </w:pPr>
      <w:r w:rsidRPr="00B51F17">
        <w:rPr>
          <w:rFonts w:cstheme="minorHAnsi"/>
          <w:b/>
          <w:bCs/>
          <w:lang w:val="en-GB"/>
        </w:rPr>
        <w:t xml:space="preserve">Proposal </w:t>
      </w:r>
      <w:r w:rsidR="00827416">
        <w:rPr>
          <w:rFonts w:cstheme="minorHAnsi"/>
          <w:b/>
          <w:bCs/>
          <w:lang w:val="en-GB"/>
        </w:rPr>
        <w:t>6</w:t>
      </w:r>
    </w:p>
    <w:p w14:paraId="4A0710A7" w14:textId="4BB9CE4B" w:rsidR="00E8585E" w:rsidRPr="00B51F17" w:rsidRDefault="00776C4E" w:rsidP="00E8585E">
      <w:pPr>
        <w:pStyle w:val="ListParagraph"/>
        <w:numPr>
          <w:ilvl w:val="0"/>
          <w:numId w:val="131"/>
        </w:numPr>
        <w:rPr>
          <w:rFonts w:asciiTheme="minorHAnsi" w:hAnsiTheme="minorHAnsi" w:cstheme="minorHAnsi"/>
          <w:szCs w:val="22"/>
          <w:lang w:val="en-GB"/>
        </w:rPr>
      </w:pPr>
      <w:r w:rsidRPr="00B51F17">
        <w:rPr>
          <w:rFonts w:asciiTheme="minorHAnsi" w:hAnsiTheme="minorHAnsi" w:cstheme="minorHAnsi"/>
          <w:szCs w:val="22"/>
          <w:lang w:val="en-GB"/>
        </w:rPr>
        <w:t>The Rel-15/16 (slot based) transmission occasion definitions are used to specify power control operation for DCI format 2_2 and DMRS bundling</w:t>
      </w:r>
    </w:p>
    <w:p w14:paraId="58AA5446" w14:textId="0D5960B8" w:rsidR="00776C4E" w:rsidRPr="00B51F17" w:rsidRDefault="00776C4E" w:rsidP="00B51F17">
      <w:pPr>
        <w:pStyle w:val="ListParagraph"/>
        <w:numPr>
          <w:ilvl w:val="1"/>
          <w:numId w:val="131"/>
        </w:numPr>
        <w:rPr>
          <w:rFonts w:asciiTheme="minorHAnsi" w:hAnsiTheme="minorHAnsi" w:cstheme="minorHAnsi"/>
          <w:szCs w:val="22"/>
          <w:lang w:val="en-GB"/>
        </w:rPr>
      </w:pPr>
      <w:r w:rsidRPr="00B51F17">
        <w:rPr>
          <w:rFonts w:asciiTheme="minorHAnsi" w:hAnsiTheme="minorHAnsi" w:cstheme="minorHAnsi"/>
          <w:szCs w:val="22"/>
          <w:lang w:val="en-GB"/>
        </w:rPr>
        <w:t xml:space="preserve">The following </w:t>
      </w:r>
      <w:r w:rsidR="002A0780" w:rsidRPr="00B51F17">
        <w:rPr>
          <w:rFonts w:asciiTheme="minorHAnsi" w:hAnsiTheme="minorHAnsi" w:cstheme="minorHAnsi"/>
          <w:szCs w:val="22"/>
          <w:lang w:val="en-GB"/>
        </w:rPr>
        <w:t xml:space="preserve">is </w:t>
      </w:r>
      <w:r w:rsidRPr="00B51F17">
        <w:rPr>
          <w:rFonts w:asciiTheme="minorHAnsi" w:hAnsiTheme="minorHAnsi" w:cstheme="minorHAnsi"/>
          <w:szCs w:val="22"/>
          <w:lang w:val="en-GB"/>
        </w:rPr>
        <w:t>used for accumulated TPC operation</w:t>
      </w:r>
    </w:p>
    <w:p w14:paraId="0C614500" w14:textId="2D0F6DE9" w:rsidR="00776C4E" w:rsidRDefault="00776C4E" w:rsidP="00776C4E">
      <w:pPr>
        <w:ind w:left="851" w:hanging="284"/>
        <w:rPr>
          <w:rFonts w:ascii="Times New Roman" w:hAnsi="Times New Roman" w:cs="Times New Roman"/>
          <w:sz w:val="20"/>
          <w:szCs w:val="20"/>
        </w:rPr>
      </w:pPr>
      <w:r w:rsidRPr="00B520AD">
        <w:rPr>
          <w:rFonts w:ascii="Times New Roman" w:hAnsi="Times New Roman" w:cs="Times New Roman"/>
          <w:sz w:val="20"/>
          <w:szCs w:val="20"/>
        </w:rPr>
        <w:t>-</w:t>
      </w:r>
      <w:r w:rsidRPr="00B520AD">
        <w:rPr>
          <w:rFonts w:ascii="Times New Roman" w:hAnsi="Times New Roman" w:cs="Times New Roman"/>
          <w:sz w:val="20"/>
          <w:szCs w:val="20"/>
        </w:rPr>
        <w:tab/>
        <w:t xml:space="preserve">If the UE is provided </w:t>
      </w:r>
      <w:r w:rsidRPr="00B520AD">
        <w:rPr>
          <w:rFonts w:ascii="Times New Roman" w:hAnsi="Times New Roman" w:cs="Times New Roman"/>
          <w:i/>
          <w:iCs/>
          <w:sz w:val="20"/>
          <w:szCs w:val="20"/>
        </w:rPr>
        <w:t>PUSCH-DMRS-Bundling</w:t>
      </w:r>
      <w:r w:rsidRPr="00B520AD">
        <w:rPr>
          <w:rFonts w:ascii="Times New Roman" w:hAnsi="Times New Roman" w:cs="Times New Roman"/>
          <w:sz w:val="20"/>
          <w:szCs w:val="20"/>
        </w:rPr>
        <w:t xml:space="preserve"> = ‘enabled’, and for processing TPC command values provided by DCI format 2_2 with CRC scrambled by TPC-PUSCH-RNTI, if a transmission occasion </w:t>
      </w:r>
      <m:oMath>
        <m:r>
          <w:rPr>
            <w:rFonts w:ascii="Cambria Math" w:hAnsi="Cambria Math" w:cs="Times New Roman"/>
            <w:sz w:val="20"/>
            <w:szCs w:val="20"/>
          </w:rPr>
          <m:t>i</m:t>
        </m:r>
      </m:oMath>
      <w:r w:rsidRPr="00B520AD">
        <w:rPr>
          <w:rFonts w:ascii="Times New Roman" w:hAnsi="Times New Roman" w:cs="Times New Roman"/>
          <w:sz w:val="20"/>
          <w:szCs w:val="20"/>
        </w:rPr>
        <w:t xml:space="preserve"> </w:t>
      </w:r>
      <w:r w:rsidR="00946E0D">
        <w:rPr>
          <w:rFonts w:ascii="Times New Roman" w:hAnsi="Times New Roman" w:cs="Times New Roman"/>
          <w:sz w:val="20"/>
          <w:szCs w:val="20"/>
        </w:rPr>
        <w:t xml:space="preserve">containing a </w:t>
      </w:r>
      <w:r w:rsidR="00946E0D" w:rsidRPr="00946E0D">
        <w:rPr>
          <w:rFonts w:ascii="Times New Roman" w:hAnsi="Times New Roman" w:cs="Times New Roman"/>
          <w:sz w:val="20"/>
          <w:szCs w:val="20"/>
        </w:rPr>
        <w:t xml:space="preserve">PUSCH transmission configured by </w:t>
      </w:r>
      <w:proofErr w:type="spellStart"/>
      <w:r w:rsidR="00946E0D" w:rsidRPr="00C41FAD">
        <w:rPr>
          <w:rFonts w:ascii="Times New Roman" w:hAnsi="Times New Roman" w:cs="Times New Roman"/>
          <w:i/>
          <w:iCs/>
          <w:sz w:val="20"/>
          <w:szCs w:val="20"/>
        </w:rPr>
        <w:t>ConfiguredGrantConfig</w:t>
      </w:r>
      <w:proofErr w:type="spellEnd"/>
      <w:r w:rsidR="00946E0D" w:rsidRPr="00B520AD">
        <w:rPr>
          <w:rFonts w:ascii="Times New Roman" w:hAnsi="Times New Roman" w:cs="Times New Roman"/>
          <w:sz w:val="20"/>
          <w:szCs w:val="20"/>
        </w:rPr>
        <w:t xml:space="preserve"> </w:t>
      </w:r>
      <w:r w:rsidRPr="00B520AD">
        <w:rPr>
          <w:rFonts w:ascii="Times New Roman" w:hAnsi="Times New Roman" w:cs="Times New Roman"/>
          <w:sz w:val="20"/>
          <w:szCs w:val="20"/>
        </w:rPr>
        <w:t xml:space="preserve">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oMath>
      <w:r w:rsidRPr="00B520AD">
        <w:rPr>
          <w:rFonts w:ascii="Times New Roman"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oMath>
      <w:r w:rsidRPr="00B520AD">
        <w:rPr>
          <w:rFonts w:ascii="Times New Roman" w:hAnsi="Times New Roman" w:cs="Times New Roman"/>
          <w:sz w:val="20"/>
          <w:szCs w:val="20"/>
        </w:rPr>
        <w:t xml:space="preserve"> is a first transmission occasion within the nominal time domain window.  For a first transmission occasion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oMath>
      <w:r w:rsidRPr="00B520AD">
        <w:rPr>
          <w:rFonts w:ascii="Times New Roman" w:hAnsi="Times New Roman" w:cs="Times New Roman"/>
          <w:sz w:val="20"/>
          <w:szCs w:val="20"/>
        </w:rPr>
        <w:t xml:space="preserve"> after the transmission nominal time domain window,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r>
              <w:rPr>
                <w:rFonts w:ascii="Cambria Math" w:hAnsi="Cambria Math" w:cs="Times New Roman"/>
                <w:sz w:val="20"/>
                <w:szCs w:val="20"/>
              </w:rPr>
              <m:t>,l</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2</m:t>
                </m:r>
              </m:sub>
            </m:sSub>
          </m:sup>
          <m:e>
            <m:nary>
              <m:naryPr>
                <m:chr m:val="∑"/>
                <m:limLoc m:val="undOvr"/>
                <m:ctrlPr>
                  <w:rPr>
                    <w:rFonts w:ascii="Cambria Math" w:eastAsia="SimSun"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sidRPr="00B520AD">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oMath>
      <w:r w:rsidRPr="00B520AD">
        <w:rPr>
          <w:rFonts w:ascii="Times New Roman" w:hAnsi="Times New Roman" w:cs="Times New Roman"/>
          <w:sz w:val="20"/>
          <w:szCs w:val="20"/>
        </w:rPr>
        <w:t xml:space="preserve"> as defined above</w:t>
      </w:r>
      <w:r>
        <w:rPr>
          <w:rFonts w:ascii="Times New Roman" w:hAnsi="Times New Roman" w:cs="Times New Roman"/>
          <w:sz w:val="20"/>
          <w:szCs w:val="20"/>
        </w:rPr>
        <w:t>.</w:t>
      </w:r>
    </w:p>
    <w:p w14:paraId="379EDD4B" w14:textId="08325E06" w:rsidR="002A0780" w:rsidRPr="00B51F17" w:rsidRDefault="002A0780" w:rsidP="00B51F17">
      <w:pPr>
        <w:pStyle w:val="ListParagraph"/>
        <w:numPr>
          <w:ilvl w:val="0"/>
          <w:numId w:val="131"/>
        </w:numPr>
        <w:rPr>
          <w:rFonts w:asciiTheme="minorHAnsi" w:hAnsiTheme="minorHAnsi" w:cstheme="minorHAnsi"/>
          <w:lang w:val="en-GB"/>
        </w:rPr>
      </w:pPr>
      <w:r w:rsidRPr="00B51F17">
        <w:rPr>
          <w:rFonts w:asciiTheme="minorHAnsi" w:hAnsiTheme="minorHAnsi" w:cstheme="minorHAnsi"/>
          <w:lang w:val="en-GB"/>
        </w:rPr>
        <w:t xml:space="preserve">The portion of the working assumption to support DCI format 2_2 </w:t>
      </w:r>
      <w:r w:rsidR="005546CF" w:rsidRPr="00B51F17">
        <w:rPr>
          <w:rFonts w:asciiTheme="minorHAnsi" w:hAnsiTheme="minorHAnsi" w:cstheme="minorHAnsi"/>
          <w:lang w:val="en-GB"/>
        </w:rPr>
        <w:t xml:space="preserve">and DMRS bundling </w:t>
      </w:r>
      <w:r w:rsidRPr="00B51F17">
        <w:rPr>
          <w:rFonts w:asciiTheme="minorHAnsi" w:hAnsiTheme="minorHAnsi" w:cstheme="minorHAnsi"/>
          <w:lang w:val="en-GB"/>
        </w:rPr>
        <w:t>with absolute TPCs is not confirmed</w:t>
      </w:r>
    </w:p>
    <w:p w14:paraId="5A727727" w14:textId="20A5E3A3" w:rsidR="008F40CC" w:rsidRPr="004675F2" w:rsidRDefault="008F40CC" w:rsidP="00BB2174"/>
    <w:p w14:paraId="01B3971D" w14:textId="40DEDF03" w:rsidR="003E60C1" w:rsidRDefault="00086E7F" w:rsidP="00B51F17">
      <w:pPr>
        <w:pStyle w:val="Heading2"/>
      </w:pPr>
      <w:bookmarkStart w:id="15"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15"/>
      <w:r w:rsidR="003E60C1">
        <w:t xml:space="preserve"> </w:t>
      </w:r>
    </w:p>
    <w:p w14:paraId="22AAD34F" w14:textId="4E55D23A" w:rsidR="005A43E6" w:rsidRDefault="006B77CE" w:rsidP="00F77F9F">
      <w:pPr>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F843F8" w:rsidRPr="00B51F17">
        <w:t>Figure 4</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sidR="005653D3">
        <w:rPr>
          <w:lang w:val="en-GB"/>
        </w:rPr>
        <w:t>, i.e. there are 4 back-to-back slots on each frequency</w:t>
      </w:r>
      <w:r>
        <w:rPr>
          <w:lang w:val="en-GB"/>
        </w:rPr>
        <w:t xml:space="preserve">. </w:t>
      </w:r>
      <w:r w:rsidR="005653D3">
        <w:rPr>
          <w:lang w:val="en-GB"/>
        </w:rPr>
        <w:t>JCE</w:t>
      </w:r>
      <w:r>
        <w:rPr>
          <w:lang w:val="en-GB"/>
        </w:rPr>
        <w:t xml:space="preserve">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w:t>
      </w:r>
      <w:r w:rsidR="005653D3">
        <w:rPr>
          <w:lang w:val="en-GB"/>
        </w:rPr>
        <w:t xml:space="preserve">back-to-back </w:t>
      </w:r>
      <w:r w:rsidR="005A43E6">
        <w:rPr>
          <w:lang w:val="en-GB"/>
        </w:rPr>
        <w:t xml:space="preserve">slots on the same 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DF2CD0">
        <w:rPr>
          <w:lang w:val="en-GB"/>
        </w:rPr>
        <w:t>A</w:t>
      </w:r>
      <w:r w:rsidR="00790E39">
        <w:rPr>
          <w:lang w:val="en-GB"/>
        </w:rPr>
        <w:t>1</w:t>
      </w:r>
      <w:r w:rsidRPr="00565EEC">
        <w:rPr>
          <w:lang w:val="en-GB"/>
        </w:rPr>
        <w:t xml:space="preserve"> for </w:t>
      </w:r>
      <w:r w:rsidR="005A43E6" w:rsidRPr="00565EEC">
        <w:rPr>
          <w:lang w:val="en-GB"/>
        </w:rPr>
        <w:t>additional</w:t>
      </w:r>
      <w:r>
        <w:rPr>
          <w:lang w:val="en-GB"/>
        </w:rPr>
        <w:t xml:space="preserve"> simulation details. </w:t>
      </w:r>
    </w:p>
    <w:p w14:paraId="290C15F3" w14:textId="32324610" w:rsidR="007B5A61" w:rsidRDefault="006B77CE" w:rsidP="00F77F9F">
      <w:pPr>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F843F8" w:rsidRPr="00B51F17">
        <w:t xml:space="preserve">Figure </w:t>
      </w:r>
      <w:r w:rsidR="00F843F8" w:rsidRPr="00B51F17">
        <w:rPr>
          <w:noProof/>
        </w:rPr>
        <w:t>4</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43F85039" w:rsidR="006B77CE" w:rsidRPr="006B77CE" w:rsidRDefault="006B77CE" w:rsidP="00F71037">
      <w:pPr>
        <w:pStyle w:val="BodyText"/>
        <w:keepNext/>
        <w:spacing w:after="0"/>
        <w:rPr>
          <w:rFonts w:cstheme="minorHAnsi"/>
          <w:b/>
          <w:lang w:val="en-GB"/>
        </w:rPr>
      </w:pPr>
      <w:r w:rsidRPr="006B77CE">
        <w:rPr>
          <w:rFonts w:cstheme="minorHAnsi"/>
          <w:b/>
          <w:lang w:val="en-GB"/>
        </w:rPr>
        <w:lastRenderedPageBreak/>
        <w:t>Observation</w:t>
      </w:r>
      <w:r w:rsidR="00C813E3">
        <w:rPr>
          <w:b/>
        </w:rPr>
        <w:t xml:space="preserve"> </w:t>
      </w:r>
      <w:r w:rsidR="00C20756">
        <w:rPr>
          <w:b/>
          <w:bCs/>
        </w:rPr>
        <w:t>1</w:t>
      </w:r>
      <w:r w:rsidR="00F30DD8">
        <w:rPr>
          <w:b/>
          <w:bCs/>
        </w:rPr>
        <w:t>8</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B86658">
      <w:pPr>
        <w:pStyle w:val="BodyText"/>
        <w:numPr>
          <w:ilvl w:val="1"/>
          <w:numId w:val="44"/>
        </w:numPr>
      </w:pPr>
      <w:r>
        <w:rPr>
          <w:rFonts w:cstheme="minorHAnsi"/>
        </w:rPr>
        <w:t>Inter-slot FH was generally found to perform better than intra-slot FH under the used simulation assumptions</w:t>
      </w:r>
      <w:r w:rsidR="00B77B26">
        <w:rPr>
          <w:lang w:val="en-GB"/>
        </w:rPr>
        <w:t>.</w:t>
      </w:r>
    </w:p>
    <w:p w14:paraId="3EB424C3" w14:textId="29BBEB3A" w:rsidR="006E4517" w:rsidRDefault="006E4517" w:rsidP="00B86658">
      <w:pPr>
        <w:spacing w:after="0"/>
        <w:jc w:val="center"/>
        <w:rPr>
          <w:lang w:val="en-GB"/>
        </w:rPr>
      </w:pPr>
      <w:r w:rsidRPr="006E4517">
        <w:rPr>
          <w:noProof/>
          <w:lang w:val="en-GB"/>
        </w:rPr>
        <w:drawing>
          <wp:inline distT="0" distB="0" distL="0" distR="0" wp14:anchorId="765A5D91" wp14:editId="3E64003E">
            <wp:extent cx="4018693" cy="3224837"/>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4157" cy="3229221"/>
                    </a:xfrm>
                    <a:prstGeom prst="rect">
                      <a:avLst/>
                    </a:prstGeom>
                    <a:noFill/>
                    <a:ln>
                      <a:noFill/>
                    </a:ln>
                  </pic:spPr>
                </pic:pic>
              </a:graphicData>
            </a:graphic>
          </wp:inline>
        </w:drawing>
      </w:r>
    </w:p>
    <w:p w14:paraId="7CE06FA2" w14:textId="753C054F" w:rsidR="003E60C1" w:rsidRDefault="003E60C1" w:rsidP="003E60C1">
      <w:pPr>
        <w:pStyle w:val="Caption"/>
        <w:rPr>
          <w:b w:val="0"/>
        </w:rPr>
      </w:pPr>
      <w:bookmarkStart w:id="16"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4</w:t>
      </w:r>
      <w:r w:rsidRPr="00AE28EC">
        <w:rPr>
          <w:b w:val="0"/>
          <w:bCs w:val="0"/>
        </w:rPr>
        <w:fldChar w:fldCharType="end"/>
      </w:r>
      <w:bookmarkEnd w:id="16"/>
      <w:r w:rsidRPr="00BE11EF">
        <w:rPr>
          <w:b w:val="0"/>
          <w:bCs w:val="0"/>
        </w:rPr>
        <w:t xml:space="preserve">. BLER performance with </w:t>
      </w:r>
      <w:r>
        <w:rPr>
          <w:b w:val="0"/>
          <w:bCs w:val="0"/>
        </w:rPr>
        <w:t>inter-slot and intra-slot FH</w:t>
      </w:r>
      <w:r w:rsidR="00CE6A50">
        <w:rPr>
          <w:b w:val="0"/>
          <w:bCs w:val="0"/>
        </w:rPr>
        <w:t>, with and without JCE</w:t>
      </w:r>
    </w:p>
    <w:p w14:paraId="4DC6F6D6" w14:textId="77777777" w:rsidR="006C2A84" w:rsidRDefault="006C2A84" w:rsidP="006B5046">
      <w:pPr>
        <w:rPr>
          <w:lang w:val="en-GB"/>
        </w:rPr>
      </w:pPr>
    </w:p>
    <w:p w14:paraId="31BCA922" w14:textId="730DE376" w:rsidR="00E9101F" w:rsidRDefault="005653D3" w:rsidP="006B5046">
      <w:pPr>
        <w:rPr>
          <w:lang w:val="en-GB"/>
        </w:rPr>
      </w:pPr>
      <w:r>
        <w:rPr>
          <w:lang w:val="en-GB"/>
        </w:rPr>
        <w:t>Next, we focus on inter-slot FH and investigate the impact of number of back-to-back repetitions on each frequency</w:t>
      </w:r>
      <w:r w:rsidR="0095149C">
        <w:rPr>
          <w:lang w:val="en-GB"/>
        </w:rPr>
        <w:t xml:space="preserve"> in the FDD case</w:t>
      </w:r>
      <w:r>
        <w:rPr>
          <w:lang w:val="en-GB"/>
        </w:rPr>
        <w:t xml:space="preserve">. </w:t>
      </w:r>
      <w:r w:rsidR="00AF2C2E">
        <w:rPr>
          <w:lang w:val="en-GB"/>
        </w:rPr>
        <w:t xml:space="preserve">Performance </w:t>
      </w:r>
      <w:r w:rsidR="00C910D7">
        <w:rPr>
          <w:lang w:val="en-GB"/>
        </w:rPr>
        <w:t xml:space="preserve">comparison between </w:t>
      </w:r>
      <w:r w:rsidR="00C80646">
        <w:rPr>
          <w:lang w:val="en-GB"/>
        </w:rPr>
        <w:t xml:space="preserve">the JCE only and JCE </w:t>
      </w:r>
      <w:r w:rsidR="00AF2C2E">
        <w:rPr>
          <w:lang w:val="en-GB"/>
        </w:rPr>
        <w:t>with inter-slot FH is shown in</w:t>
      </w:r>
      <w:r w:rsidR="00AF2C2E" w:rsidRPr="00175E49">
        <w:rPr>
          <w:lang w:val="en-GB"/>
        </w:rPr>
        <w:t xml:space="preserve"> </w:t>
      </w:r>
      <w:r w:rsidR="00175E49" w:rsidRPr="00954356">
        <w:rPr>
          <w:lang w:val="en-GB"/>
        </w:rPr>
        <w:fldChar w:fldCharType="begin"/>
      </w:r>
      <w:r w:rsidR="00175E49" w:rsidRPr="00175E49">
        <w:rPr>
          <w:lang w:val="en-GB"/>
        </w:rPr>
        <w:instrText xml:space="preserve"> REF _Ref83924791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F843F8" w:rsidRPr="00B51F17">
        <w:t xml:space="preserve">Figure </w:t>
      </w:r>
      <w:r w:rsidR="00F843F8" w:rsidRPr="00B51F17">
        <w:rPr>
          <w:noProof/>
        </w:rPr>
        <w:t>5</w:t>
      </w:r>
      <w:r w:rsidR="00175E49" w:rsidRPr="00954356">
        <w:rPr>
          <w:lang w:val="en-GB"/>
        </w:rPr>
        <w:fldChar w:fldCharType="end"/>
      </w:r>
      <w:r w:rsidR="00AF2C2E" w:rsidRPr="00175E49">
        <w:rPr>
          <w:lang w:val="en-GB"/>
        </w:rPr>
        <w:t>,</w:t>
      </w:r>
      <w:r w:rsidR="00AF2C2E">
        <w:rPr>
          <w:lang w:val="en-GB"/>
        </w:rPr>
        <w:t xml:space="preserve"> for FDD at </w:t>
      </w:r>
      <w:r w:rsidR="00D437F4">
        <w:rPr>
          <w:lang w:val="en-GB"/>
        </w:rPr>
        <w:t>700MH</w:t>
      </w:r>
      <w:r w:rsidR="00AF2C2E">
        <w:rPr>
          <w:lang w:val="en-GB"/>
        </w:rPr>
        <w:t xml:space="preserve">z, with 2 </w:t>
      </w:r>
      <w:r w:rsidR="001C0E79">
        <w:rPr>
          <w:lang w:val="en-GB"/>
        </w:rPr>
        <w:t xml:space="preserve">or 4 </w:t>
      </w:r>
      <w:r w:rsidR="00F252A5">
        <w:rPr>
          <w:lang w:val="en-GB"/>
        </w:rPr>
        <w:t>repetitions</w:t>
      </w:r>
      <w:r w:rsidR="00264B04">
        <w:rPr>
          <w:lang w:val="en-GB"/>
        </w:rPr>
        <w:t xml:space="preserve"> per hop</w:t>
      </w:r>
      <w:r w:rsidR="00AF2C2E">
        <w:rPr>
          <w:lang w:val="en-GB"/>
        </w:rPr>
        <w:t xml:space="preserve">, 8 repetitions, for 30 ns delay spread and 3 km/h UE speed. </w:t>
      </w:r>
    </w:p>
    <w:p w14:paraId="4403A98A" w14:textId="77777777" w:rsidR="005653D3" w:rsidRDefault="005653D3" w:rsidP="006B5046">
      <w:pPr>
        <w:rPr>
          <w:lang w:val="en-GB"/>
        </w:rPr>
      </w:pPr>
    </w:p>
    <w:p w14:paraId="753C079B" w14:textId="0FFBA55D" w:rsidR="00AF1B42" w:rsidRDefault="00AF1B42" w:rsidP="00B51F17">
      <w:pPr>
        <w:keepNext/>
        <w:rPr>
          <w:lang w:val="en-GB"/>
        </w:rPr>
      </w:pPr>
      <w:r>
        <w:rPr>
          <w:lang w:val="en-GB"/>
        </w:rPr>
        <w:t>2 reps per hop</w:t>
      </w:r>
      <w:r>
        <w:rPr>
          <w:lang w:val="en-GB"/>
        </w:rPr>
        <w:tab/>
      </w:r>
      <w:r>
        <w:rPr>
          <w:lang w:val="en-GB"/>
        </w:rPr>
        <w:tab/>
      </w:r>
      <w:r>
        <w:rPr>
          <w:lang w:val="en-GB"/>
        </w:rPr>
        <w:tab/>
      </w:r>
      <w:r>
        <w:rPr>
          <w:lang w:val="en-GB"/>
        </w:rPr>
        <w:tab/>
      </w:r>
      <w:r>
        <w:rPr>
          <w:lang w:val="en-GB"/>
        </w:rPr>
        <w:tab/>
      </w:r>
      <w:r>
        <w:rPr>
          <w:lang w:val="en-GB"/>
        </w:rPr>
        <w:tab/>
        <w:t>4 reps per hop</w:t>
      </w:r>
    </w:p>
    <w:p w14:paraId="249301CC" w14:textId="08A9BCE9" w:rsidR="00E9101F" w:rsidRDefault="00E9101F" w:rsidP="006B5046">
      <w:pPr>
        <w:rPr>
          <w:lang w:val="en-GB"/>
        </w:rPr>
      </w:pPr>
      <w:r>
        <w:rPr>
          <w:noProof/>
          <w:lang w:val="en-GB"/>
        </w:rPr>
        <w:drawing>
          <wp:inline distT="0" distB="0" distL="0" distR="0" wp14:anchorId="040F4B25" wp14:editId="392B5268">
            <wp:extent cx="2652903" cy="7366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55348" cy="765045"/>
                    </a:xfrm>
                    <a:prstGeom prst="rect">
                      <a:avLst/>
                    </a:prstGeom>
                    <a:noFill/>
                  </pic:spPr>
                </pic:pic>
              </a:graphicData>
            </a:graphic>
          </wp:inline>
        </w:drawing>
      </w:r>
      <w:r w:rsidR="00EA34AE">
        <w:rPr>
          <w:lang w:val="en-GB"/>
        </w:rPr>
        <w:t xml:space="preserve">   </w:t>
      </w:r>
      <w:r w:rsidR="00EA34AE">
        <w:rPr>
          <w:noProof/>
          <w:lang w:val="en-GB"/>
        </w:rPr>
        <w:drawing>
          <wp:inline distT="0" distB="0" distL="0" distR="0" wp14:anchorId="6C4B4498" wp14:editId="1EB2BE4B">
            <wp:extent cx="2651125" cy="736106"/>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2666" cy="750417"/>
                    </a:xfrm>
                    <a:prstGeom prst="rect">
                      <a:avLst/>
                    </a:prstGeom>
                    <a:noFill/>
                  </pic:spPr>
                </pic:pic>
              </a:graphicData>
            </a:graphic>
          </wp:inline>
        </w:drawing>
      </w:r>
    </w:p>
    <w:p w14:paraId="08827629" w14:textId="77777777" w:rsidR="005653D3" w:rsidRDefault="005653D3" w:rsidP="006B5046">
      <w:pPr>
        <w:rPr>
          <w:lang w:val="en-GB"/>
        </w:rPr>
      </w:pPr>
    </w:p>
    <w:p w14:paraId="776A9421" w14:textId="735A7890" w:rsidR="006B5046" w:rsidRDefault="005377FE" w:rsidP="006B5046">
      <w:pPr>
        <w:rPr>
          <w:lang w:val="en-GB"/>
        </w:rPr>
      </w:pPr>
      <w:r w:rsidRPr="007B75BC">
        <w:rPr>
          <w:lang w:val="en-GB"/>
        </w:rPr>
        <w:fldChar w:fldCharType="begin"/>
      </w:r>
      <w:r w:rsidRPr="007B75BC">
        <w:rPr>
          <w:lang w:val="en-GB"/>
        </w:rPr>
        <w:instrText xml:space="preserve"> REF _Ref83924791 \h  \* MERGEFORMAT </w:instrText>
      </w:r>
      <w:r w:rsidRPr="007B75BC">
        <w:rPr>
          <w:lang w:val="en-GB"/>
        </w:rPr>
      </w:r>
      <w:r w:rsidRPr="007B75BC">
        <w:rPr>
          <w:lang w:val="en-GB"/>
        </w:rPr>
        <w:fldChar w:fldCharType="separate"/>
      </w:r>
      <w:r w:rsidR="00F843F8" w:rsidRPr="00B51F17">
        <w:t xml:space="preserve">Figure </w:t>
      </w:r>
      <w:r w:rsidR="00F843F8" w:rsidRPr="00B51F17">
        <w:rPr>
          <w:noProof/>
        </w:rPr>
        <w:t>5</w:t>
      </w:r>
      <w:r w:rsidRPr="007B75BC">
        <w:rPr>
          <w:lang w:val="en-GB"/>
        </w:rPr>
        <w:fldChar w:fldCharType="end"/>
      </w:r>
      <w:r>
        <w:rPr>
          <w:lang w:val="en-GB"/>
        </w:rPr>
        <w:t xml:space="preserve"> </w:t>
      </w:r>
      <w:r w:rsidR="005704DC">
        <w:rPr>
          <w:lang w:val="en-GB"/>
        </w:rPr>
        <w:t>shows that</w:t>
      </w:r>
      <w:r w:rsidR="00383614">
        <w:rPr>
          <w:lang w:val="en-GB"/>
        </w:rPr>
        <w:t xml:space="preserve">, </w:t>
      </w:r>
      <w:r w:rsidR="005704DC">
        <w:rPr>
          <w:lang w:val="en-GB"/>
        </w:rPr>
        <w:t xml:space="preserve">the </w:t>
      </w:r>
      <w:r w:rsidR="00F252A5">
        <w:rPr>
          <w:lang w:val="en-GB"/>
        </w:rPr>
        <w:t>frequency hopping</w:t>
      </w:r>
      <w:r w:rsidR="00383614">
        <w:rPr>
          <w:lang w:val="en-GB"/>
        </w:rPr>
        <w:t xml:space="preserve"> can bring </w:t>
      </w:r>
      <w:r w:rsidR="007302D4" w:rsidRPr="00BB2174">
        <w:rPr>
          <w:rFonts w:ascii="Arial" w:hAnsi="Arial" w:cs="Arial"/>
          <w:lang w:val="en-GB"/>
        </w:rPr>
        <w:t>~</w:t>
      </w:r>
      <w:r w:rsidR="007302D4">
        <w:rPr>
          <w:lang w:val="en-GB"/>
        </w:rPr>
        <w:t xml:space="preserve">2dB gain to the JCE </w:t>
      </w:r>
      <w:r w:rsidR="00C847BF">
        <w:rPr>
          <w:lang w:val="en-GB"/>
        </w:rPr>
        <w:t>whatever</w:t>
      </w:r>
      <w:r w:rsidR="00E54D72">
        <w:rPr>
          <w:lang w:val="en-GB"/>
        </w:rPr>
        <w:t xml:space="preserve"> the </w:t>
      </w:r>
      <w:r w:rsidR="00C847BF">
        <w:rPr>
          <w:lang w:val="en-GB"/>
        </w:rPr>
        <w:t>number of repetitions per hop</w:t>
      </w:r>
      <w:r w:rsidR="00D06CAB">
        <w:rPr>
          <w:lang w:val="en-GB"/>
        </w:rPr>
        <w:t xml:space="preserve">. </w:t>
      </w:r>
      <w:r w:rsidR="008A53FE">
        <w:rPr>
          <w:lang w:val="en-GB"/>
        </w:rPr>
        <w:t xml:space="preserve">The JCE </w:t>
      </w:r>
      <w:r w:rsidR="007137EE">
        <w:rPr>
          <w:lang w:val="en-GB"/>
        </w:rPr>
        <w:t>over</w:t>
      </w:r>
      <w:r w:rsidR="00B90E30">
        <w:rPr>
          <w:lang w:val="en-GB"/>
        </w:rPr>
        <w:t xml:space="preserve"> </w:t>
      </w:r>
      <w:r w:rsidR="00796338">
        <w:rPr>
          <w:lang w:val="en-GB"/>
        </w:rPr>
        <w:t>4</w:t>
      </w:r>
      <w:r w:rsidR="00B90E30">
        <w:rPr>
          <w:lang w:val="en-GB"/>
        </w:rPr>
        <w:t xml:space="preserve"> </w:t>
      </w:r>
      <w:r w:rsidR="008F5B7F">
        <w:rPr>
          <w:lang w:val="en-GB"/>
        </w:rPr>
        <w:t>repetition</w:t>
      </w:r>
      <w:r w:rsidR="00E55AAD">
        <w:rPr>
          <w:lang w:val="en-GB"/>
        </w:rPr>
        <w:t>s</w:t>
      </w:r>
      <w:r w:rsidR="00796338">
        <w:rPr>
          <w:lang w:val="en-GB"/>
        </w:rPr>
        <w:t xml:space="preserve"> </w:t>
      </w:r>
      <w:r w:rsidR="008414B2">
        <w:rPr>
          <w:lang w:val="en-GB"/>
        </w:rPr>
        <w:t xml:space="preserve">provide </w:t>
      </w:r>
      <w:r w:rsidR="008414B2" w:rsidRPr="00BB2174">
        <w:rPr>
          <w:rFonts w:ascii="Arial" w:hAnsi="Arial" w:cs="Arial"/>
          <w:lang w:val="en-GB"/>
        </w:rPr>
        <w:t>~</w:t>
      </w:r>
      <w:r w:rsidR="008414B2">
        <w:rPr>
          <w:lang w:val="en-GB"/>
        </w:rPr>
        <w:t xml:space="preserve">0.5 dB gain </w:t>
      </w:r>
      <w:r>
        <w:rPr>
          <w:lang w:val="en-GB"/>
        </w:rPr>
        <w:t xml:space="preserve">compared </w:t>
      </w:r>
      <w:r w:rsidR="008414B2">
        <w:rPr>
          <w:lang w:val="en-GB"/>
        </w:rPr>
        <w:t xml:space="preserve">to the JCE over 2 </w:t>
      </w:r>
      <w:r w:rsidR="00AF1B42">
        <w:rPr>
          <w:lang w:val="en-GB"/>
        </w:rPr>
        <w:t>repetitions</w:t>
      </w:r>
      <w:r w:rsidR="00742651">
        <w:rPr>
          <w:lang w:val="en-GB"/>
        </w:rPr>
        <w:t>.</w:t>
      </w:r>
    </w:p>
    <w:p w14:paraId="288AE454" w14:textId="77777777" w:rsidR="00403EFE" w:rsidRDefault="00403EFE" w:rsidP="00403EFE">
      <w:pPr>
        <w:pStyle w:val="BodyText"/>
        <w:spacing w:after="0"/>
        <w:rPr>
          <w:rFonts w:cstheme="minorHAnsi"/>
          <w:b/>
          <w:lang w:val="en-GB"/>
        </w:rPr>
      </w:pPr>
    </w:p>
    <w:p w14:paraId="736624E2" w14:textId="282A669C" w:rsidR="00403EFE" w:rsidRPr="006B77CE" w:rsidRDefault="00403EFE" w:rsidP="00403EFE">
      <w:pPr>
        <w:pStyle w:val="BodyText"/>
        <w:spacing w:after="0"/>
        <w:rPr>
          <w:rFonts w:cstheme="minorHAnsi"/>
          <w:b/>
          <w:lang w:val="en-GB"/>
        </w:rPr>
      </w:pPr>
      <w:r w:rsidRPr="006B77CE">
        <w:rPr>
          <w:rFonts w:cstheme="minorHAnsi"/>
          <w:b/>
          <w:lang w:val="en-GB"/>
        </w:rPr>
        <w:t>Observation</w:t>
      </w:r>
      <w:r>
        <w:rPr>
          <w:b/>
          <w:bCs/>
        </w:rPr>
        <w:t xml:space="preserve"> </w:t>
      </w:r>
      <w:r w:rsidR="00C20756">
        <w:rPr>
          <w:b/>
          <w:bCs/>
        </w:rPr>
        <w:t>1</w:t>
      </w:r>
      <w:r w:rsidR="00F30DD8">
        <w:rPr>
          <w:b/>
          <w:bCs/>
        </w:rPr>
        <w:t>9</w:t>
      </w:r>
      <w:r w:rsidRPr="006B77CE">
        <w:rPr>
          <w:rFonts w:cstheme="minorHAnsi"/>
          <w:b/>
          <w:lang w:val="en-GB"/>
        </w:rPr>
        <w:t>:</w:t>
      </w:r>
    </w:p>
    <w:p w14:paraId="4CF6AD65" w14:textId="2BFD0658" w:rsidR="00403EFE" w:rsidRPr="00E773FA" w:rsidRDefault="00403EFE" w:rsidP="00BB2174">
      <w:pPr>
        <w:pStyle w:val="BodyText"/>
        <w:numPr>
          <w:ilvl w:val="0"/>
          <w:numId w:val="44"/>
        </w:numPr>
        <w:spacing w:after="240"/>
      </w:pPr>
      <w:r>
        <w:rPr>
          <w:rFonts w:cstheme="minorHAnsi"/>
        </w:rPr>
        <w:t>When JCE is used, 4-slot FH bundles can provide about 0.5 dB gain over 2-slot FH bundles</w:t>
      </w:r>
      <w:r w:rsidR="00B30E1C">
        <w:rPr>
          <w:rFonts w:cstheme="minorHAnsi"/>
        </w:rPr>
        <w:t>.</w:t>
      </w:r>
    </w:p>
    <w:p w14:paraId="65D81EB3" w14:textId="2317F748" w:rsidR="00A334DF" w:rsidRDefault="00A80230" w:rsidP="00B86658">
      <w:pPr>
        <w:keepNext/>
        <w:spacing w:after="0"/>
        <w:jc w:val="center"/>
      </w:pPr>
      <w:r w:rsidRPr="00A80230">
        <w:rPr>
          <w:noProof/>
        </w:rPr>
        <w:drawing>
          <wp:inline distT="0" distB="0" distL="0" distR="0" wp14:anchorId="5094A522" wp14:editId="278D80A1">
            <wp:extent cx="4210335" cy="3830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18312" cy="3837595"/>
                    </a:xfrm>
                    <a:prstGeom prst="rect">
                      <a:avLst/>
                    </a:prstGeom>
                    <a:noFill/>
                    <a:ln>
                      <a:noFill/>
                    </a:ln>
                  </pic:spPr>
                </pic:pic>
              </a:graphicData>
            </a:graphic>
          </wp:inline>
        </w:drawing>
      </w:r>
    </w:p>
    <w:p w14:paraId="30596216" w14:textId="7D1A97C4" w:rsidR="006E4517" w:rsidRDefault="006E4517" w:rsidP="006E4517">
      <w:pPr>
        <w:pStyle w:val="Caption"/>
        <w:rPr>
          <w:b w:val="0"/>
        </w:rPr>
      </w:pPr>
      <w:bookmarkStart w:id="17" w:name="_Ref83924791"/>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5</w:t>
      </w:r>
      <w:r w:rsidRPr="00AE28EC">
        <w:rPr>
          <w:b w:val="0"/>
          <w:bCs w:val="0"/>
        </w:rPr>
        <w:fldChar w:fldCharType="end"/>
      </w:r>
      <w:bookmarkEnd w:id="17"/>
      <w:r w:rsidRPr="00BE11EF">
        <w:rPr>
          <w:b w:val="0"/>
          <w:bCs w:val="0"/>
        </w:rPr>
        <w:t xml:space="preserve">. BLER performance with </w:t>
      </w:r>
      <w:r>
        <w:rPr>
          <w:b w:val="0"/>
          <w:bCs w:val="0"/>
        </w:rPr>
        <w:t>inter-slot FH, for different bundle sizes, with and without JCE</w:t>
      </w:r>
    </w:p>
    <w:p w14:paraId="594D9878" w14:textId="77777777" w:rsidR="00AF1B42" w:rsidRDefault="00AF1B42" w:rsidP="00A334DF">
      <w:pPr>
        <w:jc w:val="center"/>
      </w:pPr>
    </w:p>
    <w:p w14:paraId="47590DC1" w14:textId="2844833F" w:rsidR="00A334DF" w:rsidRDefault="00F4000C" w:rsidP="00A334DF">
      <w:pPr>
        <w:rPr>
          <w:lang w:val="en-GB"/>
        </w:rPr>
      </w:pPr>
      <w:r>
        <w:rPr>
          <w:lang w:val="en-GB"/>
        </w:rPr>
        <w:t>T</w:t>
      </w:r>
      <w:r w:rsidR="00655F10">
        <w:rPr>
          <w:lang w:val="en-GB"/>
        </w:rPr>
        <w:t xml:space="preserve">he </w:t>
      </w:r>
      <w:r w:rsidR="005A5541">
        <w:rPr>
          <w:rFonts w:hint="eastAsia"/>
          <w:lang w:val="en-GB"/>
        </w:rPr>
        <w:t>inter</w:t>
      </w:r>
      <w:r w:rsidR="005A5541">
        <w:rPr>
          <w:lang w:val="en-GB"/>
        </w:rPr>
        <w:t xml:space="preserve">-slot </w:t>
      </w:r>
      <w:r w:rsidR="00655F10">
        <w:rPr>
          <w:lang w:val="en-GB"/>
        </w:rPr>
        <w:t>FH performance</w:t>
      </w:r>
      <w:r>
        <w:rPr>
          <w:lang w:val="en-GB"/>
        </w:rPr>
        <w:t xml:space="preserve"> can be enhanced</w:t>
      </w:r>
      <w:r w:rsidR="005A3A9D">
        <w:rPr>
          <w:lang w:val="en-GB"/>
        </w:rPr>
        <w:t xml:space="preserve"> by increasing</w:t>
      </w:r>
      <w:r w:rsidR="003A0BA6">
        <w:rPr>
          <w:lang w:val="en-GB"/>
        </w:rPr>
        <w:t xml:space="preserve"> the number of </w:t>
      </w:r>
      <w:r w:rsidR="00C414F5">
        <w:rPr>
          <w:lang w:val="en-GB"/>
        </w:rPr>
        <w:t>repetitions</w:t>
      </w:r>
      <w:r w:rsidR="00CA7E2F">
        <w:rPr>
          <w:lang w:val="en-GB"/>
        </w:rPr>
        <w:t xml:space="preserve"> </w:t>
      </w:r>
      <w:r w:rsidR="0099397E">
        <w:rPr>
          <w:lang w:val="en-GB"/>
        </w:rPr>
        <w:t xml:space="preserve">per hop </w:t>
      </w:r>
      <w:r w:rsidR="00CA7E2F">
        <w:rPr>
          <w:lang w:val="en-GB"/>
        </w:rPr>
        <w:t>and</w:t>
      </w:r>
      <w:r w:rsidR="005A3A9D">
        <w:rPr>
          <w:lang w:val="en-GB"/>
        </w:rPr>
        <w:t xml:space="preserve"> the number of hop positions</w:t>
      </w:r>
      <w:r w:rsidR="00655F10">
        <w:rPr>
          <w:lang w:val="en-GB"/>
        </w:rPr>
        <w:t xml:space="preserve">. </w:t>
      </w:r>
      <w:r w:rsidR="00157CF1">
        <w:rPr>
          <w:lang w:val="en-GB"/>
        </w:rPr>
        <w:t>E</w:t>
      </w:r>
      <w:r w:rsidR="00683FE6">
        <w:rPr>
          <w:lang w:val="en-GB"/>
        </w:rPr>
        <w:t>xample</w:t>
      </w:r>
      <w:r w:rsidR="00157CF1">
        <w:rPr>
          <w:lang w:val="en-GB"/>
        </w:rPr>
        <w:t>s</w:t>
      </w:r>
      <w:r w:rsidR="00683FE6">
        <w:rPr>
          <w:lang w:val="en-GB"/>
        </w:rPr>
        <w:t xml:space="preserve"> of the </w:t>
      </w:r>
      <w:r w:rsidR="0009033F">
        <w:rPr>
          <w:lang w:val="en-GB"/>
        </w:rPr>
        <w:t xml:space="preserve">proposed </w:t>
      </w:r>
      <w:r w:rsidR="00683FE6">
        <w:rPr>
          <w:lang w:val="en-GB"/>
        </w:rPr>
        <w:t>frequency hopping</w:t>
      </w:r>
      <w:r w:rsidR="00157CF1">
        <w:rPr>
          <w:lang w:val="en-GB"/>
        </w:rPr>
        <w:t xml:space="preserve"> </w:t>
      </w:r>
      <w:r w:rsidR="002E4B8B">
        <w:rPr>
          <w:lang w:val="en-GB"/>
        </w:rPr>
        <w:t xml:space="preserve">pattern </w:t>
      </w:r>
      <w:r w:rsidR="0095149C">
        <w:rPr>
          <w:lang w:val="en-GB"/>
        </w:rPr>
        <w:t>(cf. Section</w:t>
      </w:r>
      <w:r w:rsidR="0014152B">
        <w:rPr>
          <w:lang w:val="en-GB"/>
        </w:rPr>
        <w:t xml:space="preserve"> </w:t>
      </w:r>
      <w:r w:rsidR="0014152B">
        <w:rPr>
          <w:lang w:val="en-GB"/>
        </w:rPr>
        <w:fldChar w:fldCharType="begin"/>
      </w:r>
      <w:r w:rsidR="0014152B">
        <w:rPr>
          <w:lang w:val="en-GB"/>
        </w:rPr>
        <w:instrText xml:space="preserve"> REF _Ref92399316 \r \h </w:instrText>
      </w:r>
      <w:r w:rsidR="0014152B">
        <w:rPr>
          <w:lang w:val="en-GB"/>
        </w:rPr>
      </w:r>
      <w:r w:rsidR="0014152B">
        <w:rPr>
          <w:lang w:val="en-GB"/>
        </w:rPr>
        <w:fldChar w:fldCharType="separate"/>
      </w:r>
      <w:r w:rsidR="00F843F8">
        <w:rPr>
          <w:lang w:val="en-GB"/>
        </w:rPr>
        <w:t>2.1.2</w:t>
      </w:r>
      <w:r w:rsidR="0014152B">
        <w:rPr>
          <w:lang w:val="en-GB"/>
        </w:rPr>
        <w:fldChar w:fldCharType="end"/>
      </w:r>
      <w:r w:rsidR="0014152B">
        <w:rPr>
          <w:lang w:val="en-GB"/>
        </w:rPr>
        <w:t>)</w:t>
      </w:r>
      <w:r w:rsidR="0095149C">
        <w:rPr>
          <w:lang w:val="en-GB"/>
        </w:rPr>
        <w:t xml:space="preserve"> </w:t>
      </w:r>
      <w:r w:rsidR="00157CF1">
        <w:rPr>
          <w:lang w:val="en-GB"/>
        </w:rPr>
        <w:t>are illustrated as follows</w:t>
      </w:r>
      <w:r w:rsidR="0095149C">
        <w:rPr>
          <w:lang w:val="en-GB"/>
        </w:rPr>
        <w:t xml:space="preserve"> for TDD</w:t>
      </w:r>
      <w:r w:rsidR="002D4C69">
        <w:rPr>
          <w:lang w:val="en-GB"/>
        </w:rPr>
        <w:t xml:space="preserve">, where 30 slots </w:t>
      </w:r>
      <w:r w:rsidR="00643E2C">
        <w:rPr>
          <w:lang w:val="en-GB"/>
        </w:rPr>
        <w:t>are</w:t>
      </w:r>
      <w:r w:rsidR="002D4C69">
        <w:rPr>
          <w:lang w:val="en-GB"/>
        </w:rPr>
        <w:t xml:space="preserve"> contained in one </w:t>
      </w:r>
      <w:r w:rsidR="00AF1B42">
        <w:rPr>
          <w:lang w:val="en-GB"/>
        </w:rPr>
        <w:t>aggregation</w:t>
      </w:r>
      <w:r w:rsidR="00157CF1">
        <w:rPr>
          <w:lang w:val="en-GB"/>
        </w:rPr>
        <w:t>:</w:t>
      </w:r>
    </w:p>
    <w:p w14:paraId="1EFC9A60" w14:textId="77777777" w:rsidR="005653D3" w:rsidRDefault="005653D3" w:rsidP="00A334DF">
      <w:pPr>
        <w:rPr>
          <w:lang w:val="en-GB"/>
        </w:rPr>
      </w:pPr>
    </w:p>
    <w:p w14:paraId="0761F544" w14:textId="4D1349A4" w:rsidR="00275CAC" w:rsidRDefault="00571833" w:rsidP="00B86658">
      <w:pPr>
        <w:keepNext/>
        <w:rPr>
          <w:lang w:val="en-GB"/>
        </w:rPr>
      </w:pPr>
      <w:r>
        <w:rPr>
          <w:lang w:val="en-GB"/>
        </w:rPr>
        <w:t>Alt1</w:t>
      </w:r>
      <w:r w:rsidR="00157CF1">
        <w:rPr>
          <w:lang w:val="en-GB"/>
        </w:rPr>
        <w:t xml:space="preserve"> (</w:t>
      </w:r>
      <w:r w:rsidR="00275CAC">
        <w:rPr>
          <w:lang w:val="en-GB"/>
        </w:rPr>
        <w:t>2 hops</w:t>
      </w:r>
      <w:r w:rsidR="00157CF1">
        <w:rPr>
          <w:lang w:val="en-GB"/>
        </w:rPr>
        <w:t>)</w:t>
      </w:r>
      <w:r w:rsidR="00275CAC">
        <w:rPr>
          <w:lang w:val="en-GB"/>
        </w:rPr>
        <w:t>:</w:t>
      </w:r>
    </w:p>
    <w:p w14:paraId="586CC292" w14:textId="77777777" w:rsidR="00275CAC" w:rsidRDefault="00275CAC" w:rsidP="00497D4A">
      <w:pPr>
        <w:jc w:val="center"/>
      </w:pPr>
      <w:r>
        <w:rPr>
          <w:noProof/>
        </w:rPr>
        <w:drawing>
          <wp:inline distT="0" distB="0" distL="0" distR="0" wp14:anchorId="38D1BCCF" wp14:editId="2723E186">
            <wp:extent cx="6291580" cy="7804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91580" cy="780415"/>
                    </a:xfrm>
                    <a:prstGeom prst="rect">
                      <a:avLst/>
                    </a:prstGeom>
                    <a:noFill/>
                  </pic:spPr>
                </pic:pic>
              </a:graphicData>
            </a:graphic>
          </wp:inline>
        </w:drawing>
      </w:r>
    </w:p>
    <w:p w14:paraId="73DDD3AC" w14:textId="77777777" w:rsidR="0095149C" w:rsidRDefault="0095149C" w:rsidP="00C26119"/>
    <w:p w14:paraId="3BA7BE16" w14:textId="5BBB183C" w:rsidR="00C26119" w:rsidRDefault="00C26119" w:rsidP="00B86658">
      <w:pPr>
        <w:keepNext/>
      </w:pPr>
      <w:r>
        <w:lastRenderedPageBreak/>
        <w:t>Alt2 (2hops):</w:t>
      </w:r>
      <w:r w:rsidR="00435D81">
        <w:t xml:space="preserve"> </w:t>
      </w:r>
      <w:r w:rsidR="00435D81" w:rsidRPr="00BB2174">
        <w:t>2 hops, but balanced time domain distribution</w:t>
      </w:r>
    </w:p>
    <w:p w14:paraId="5A564BD3" w14:textId="4FE26124" w:rsidR="00C26119" w:rsidRDefault="00C26119" w:rsidP="00497D4A">
      <w:pPr>
        <w:jc w:val="center"/>
      </w:pPr>
      <w:r>
        <w:rPr>
          <w:noProof/>
        </w:rPr>
        <w:drawing>
          <wp:inline distT="0" distB="0" distL="0" distR="0" wp14:anchorId="3AB58DFA" wp14:editId="0C1D67F7">
            <wp:extent cx="6291580" cy="7812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22104" cy="822243"/>
                    </a:xfrm>
                    <a:prstGeom prst="rect">
                      <a:avLst/>
                    </a:prstGeom>
                    <a:noFill/>
                  </pic:spPr>
                </pic:pic>
              </a:graphicData>
            </a:graphic>
          </wp:inline>
        </w:drawing>
      </w:r>
    </w:p>
    <w:p w14:paraId="1E0467F8" w14:textId="77777777" w:rsidR="00C26119" w:rsidRDefault="00C26119" w:rsidP="00BB2174"/>
    <w:p w14:paraId="15CFA45C" w14:textId="2C244052" w:rsidR="00275CAC" w:rsidRDefault="00571833" w:rsidP="00B86658">
      <w:pPr>
        <w:keepNext/>
      </w:pPr>
      <w:r>
        <w:t>Alt</w:t>
      </w:r>
      <w:r w:rsidR="00C26119">
        <w:t>3</w:t>
      </w:r>
      <w:r w:rsidR="00275CAC">
        <w:t xml:space="preserve"> </w:t>
      </w:r>
      <w:r w:rsidR="00157CF1">
        <w:t>(</w:t>
      </w:r>
      <w:r w:rsidR="00275CAC">
        <w:t>3 hops</w:t>
      </w:r>
      <w:r w:rsidR="00157CF1">
        <w:t>)</w:t>
      </w:r>
      <w:r w:rsidR="00275CAC">
        <w:t>:</w:t>
      </w:r>
      <w:r w:rsidR="007A453E">
        <w:t xml:space="preserve"> </w:t>
      </w:r>
      <w:r w:rsidR="007A453E" w:rsidRPr="007A453E">
        <w:t>3 ho</w:t>
      </w:r>
      <w:r w:rsidR="00962918">
        <w:t xml:space="preserve">p positions </w:t>
      </w:r>
      <w:r w:rsidR="00E74324">
        <w:t xml:space="preserve">bring </w:t>
      </w:r>
      <w:r w:rsidR="007A453E" w:rsidRPr="007A453E">
        <w:t xml:space="preserve">more frequency </w:t>
      </w:r>
      <w:r w:rsidR="00E74324" w:rsidRPr="007A453E">
        <w:t>selectiv</w:t>
      </w:r>
      <w:r w:rsidR="00E74324">
        <w:t>ity</w:t>
      </w:r>
      <w:r w:rsidR="007A453E" w:rsidRPr="007A453E">
        <w:t xml:space="preserve">, </w:t>
      </w:r>
      <w:r w:rsidR="00E74324">
        <w:t xml:space="preserve">in addition to the </w:t>
      </w:r>
      <w:r w:rsidR="00E74324" w:rsidRPr="00F82738">
        <w:t>balanced time domain distribution</w:t>
      </w:r>
    </w:p>
    <w:p w14:paraId="0B80C79B" w14:textId="5F8AF7C9" w:rsidR="00275CAC" w:rsidRDefault="002B4C7D" w:rsidP="00275CAC">
      <w:r>
        <w:rPr>
          <w:noProof/>
        </w:rPr>
        <w:drawing>
          <wp:inline distT="0" distB="0" distL="0" distR="0" wp14:anchorId="132C8D0F" wp14:editId="60E580CC">
            <wp:extent cx="6291580" cy="110363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1580" cy="1103630"/>
                    </a:xfrm>
                    <a:prstGeom prst="rect">
                      <a:avLst/>
                    </a:prstGeom>
                    <a:noFill/>
                  </pic:spPr>
                </pic:pic>
              </a:graphicData>
            </a:graphic>
          </wp:inline>
        </w:drawing>
      </w:r>
    </w:p>
    <w:p w14:paraId="24B53682" w14:textId="5B2C5C6B" w:rsidR="00C26119" w:rsidRDefault="00C26119" w:rsidP="00275CAC"/>
    <w:p w14:paraId="2B4AE71B" w14:textId="6C07B501" w:rsidR="00655F10" w:rsidRDefault="00655F10" w:rsidP="00275CAC">
      <w:pPr>
        <w:rPr>
          <w:lang w:val="en-GB"/>
        </w:rPr>
      </w:pPr>
      <w:r>
        <w:rPr>
          <w:lang w:val="en-GB"/>
        </w:rPr>
        <w:t xml:space="preserve">Performance comparison </w:t>
      </w:r>
      <w:r w:rsidR="00C04ED6">
        <w:rPr>
          <w:lang w:val="en-GB"/>
        </w:rPr>
        <w:t xml:space="preserve">among the 3 </w:t>
      </w:r>
      <w:r w:rsidR="00664387">
        <w:rPr>
          <w:lang w:val="en-GB"/>
        </w:rPr>
        <w:t xml:space="preserve">inter-slot FH </w:t>
      </w:r>
      <w:r w:rsidR="00C04ED6">
        <w:rPr>
          <w:lang w:val="en-GB"/>
        </w:rPr>
        <w:t xml:space="preserve">options </w:t>
      </w:r>
      <w:r w:rsidR="00664387">
        <w:rPr>
          <w:lang w:val="en-GB"/>
        </w:rPr>
        <w:t>combining with</w:t>
      </w:r>
      <w:r>
        <w:rPr>
          <w:lang w:val="en-GB"/>
        </w:rPr>
        <w:t xml:space="preserve"> JCE is shown in </w:t>
      </w:r>
      <w:r w:rsidR="00175E49" w:rsidRPr="00954356">
        <w:rPr>
          <w:lang w:val="en-GB"/>
        </w:rPr>
        <w:fldChar w:fldCharType="begin"/>
      </w:r>
      <w:r w:rsidR="00175E49" w:rsidRPr="00175E49">
        <w:rPr>
          <w:lang w:val="en-GB"/>
        </w:rPr>
        <w:instrText xml:space="preserve"> REF _Ref83924795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F843F8" w:rsidRPr="00B51F17">
        <w:t xml:space="preserve">Figure </w:t>
      </w:r>
      <w:r w:rsidR="00F843F8" w:rsidRPr="00B51F17">
        <w:rPr>
          <w:noProof/>
        </w:rPr>
        <w:t>6</w:t>
      </w:r>
      <w:r w:rsidR="00175E49" w:rsidRPr="00954356">
        <w:rPr>
          <w:lang w:val="en-GB"/>
        </w:rPr>
        <w:fldChar w:fldCharType="end"/>
      </w:r>
      <w:r>
        <w:rPr>
          <w:lang w:val="en-GB"/>
        </w:rPr>
        <w:t xml:space="preserve">, for TDD pattern (DDDSUDDDUU) at 4GHz, 8 repetitions, for 30 ns delay spread and 3 km/h UE speed. </w:t>
      </w:r>
      <w:r w:rsidR="009B514A">
        <w:rPr>
          <w:lang w:val="en-GB"/>
        </w:rPr>
        <w:t xml:space="preserve">Results show that </w:t>
      </w:r>
      <w:bookmarkStart w:id="18" w:name="_Hlk83976454"/>
      <w:r w:rsidR="00D55907" w:rsidRPr="000E2856" w:rsidDel="005653D3">
        <w:rPr>
          <w:rFonts w:ascii="Arial" w:hAnsi="Arial" w:cs="Arial"/>
          <w:lang w:val="en-GB"/>
        </w:rPr>
        <w:t>~</w:t>
      </w:r>
      <w:r>
        <w:rPr>
          <w:lang w:val="en-GB"/>
        </w:rPr>
        <w:t xml:space="preserve">0.5dB </w:t>
      </w:r>
      <w:r w:rsidR="00CE338C">
        <w:rPr>
          <w:lang w:val="en-GB"/>
        </w:rPr>
        <w:t xml:space="preserve">gain @ 10% BLER and </w:t>
      </w:r>
      <w:r w:rsidR="00D55907" w:rsidRPr="00BB2174">
        <w:rPr>
          <w:rFonts w:ascii="Arial" w:hAnsi="Arial" w:cs="Arial"/>
          <w:lang w:val="en-GB"/>
        </w:rPr>
        <w:t>~</w:t>
      </w:r>
      <w:r w:rsidR="00CE338C">
        <w:rPr>
          <w:lang w:val="en-GB"/>
        </w:rPr>
        <w:t xml:space="preserve">1.5 dB gain @1% BLER </w:t>
      </w:r>
      <w:bookmarkEnd w:id="18"/>
      <w:r>
        <w:rPr>
          <w:lang w:val="en-GB"/>
        </w:rPr>
        <w:t xml:space="preserve">can </w:t>
      </w:r>
      <w:r w:rsidR="00D55907">
        <w:rPr>
          <w:lang w:val="en-GB"/>
        </w:rPr>
        <w:t>be obtained</w:t>
      </w:r>
      <w:r>
        <w:rPr>
          <w:lang w:val="en-GB"/>
        </w:rPr>
        <w:t xml:space="preserve"> from add</w:t>
      </w:r>
      <w:r w:rsidR="00CE338C">
        <w:rPr>
          <w:lang w:val="en-GB"/>
        </w:rPr>
        <w:t>ing</w:t>
      </w:r>
      <w:r>
        <w:rPr>
          <w:lang w:val="en-GB"/>
        </w:rPr>
        <w:t xml:space="preserve"> one more hop</w:t>
      </w:r>
      <w:r w:rsidR="00AC3911">
        <w:rPr>
          <w:lang w:val="en-GB"/>
        </w:rPr>
        <w:t xml:space="preserve"> in the aggregation slots</w:t>
      </w:r>
      <w:r w:rsidR="00F9240C">
        <w:rPr>
          <w:lang w:val="en-GB"/>
        </w:rPr>
        <w:t xml:space="preserve">, </w:t>
      </w:r>
      <w:r w:rsidR="005377FE">
        <w:rPr>
          <w:lang w:val="en-GB"/>
        </w:rPr>
        <w:t xml:space="preserve">while </w:t>
      </w:r>
      <w:r w:rsidR="00F9240C">
        <w:rPr>
          <w:lang w:val="en-GB"/>
        </w:rPr>
        <w:t>JCE</w:t>
      </w:r>
      <w:r w:rsidR="006A282F">
        <w:rPr>
          <w:lang w:val="en-GB"/>
        </w:rPr>
        <w:t xml:space="preserve"> </w:t>
      </w:r>
      <w:r w:rsidR="00E8490A">
        <w:rPr>
          <w:lang w:val="en-GB"/>
        </w:rPr>
        <w:t xml:space="preserve">gain </w:t>
      </w:r>
      <w:r w:rsidR="006A282F">
        <w:rPr>
          <w:lang w:val="en-GB"/>
        </w:rPr>
        <w:t>over back-to-back slots</w:t>
      </w:r>
      <w:r w:rsidR="00E8490A">
        <w:rPr>
          <w:lang w:val="en-GB"/>
        </w:rPr>
        <w:t xml:space="preserve"> is limited</w:t>
      </w:r>
      <w:r w:rsidR="00CC14B3">
        <w:rPr>
          <w:lang w:val="en-GB"/>
        </w:rPr>
        <w:t xml:space="preserve"> to </w:t>
      </w:r>
      <w:r w:rsidR="00CC14B3" w:rsidRPr="000E2856" w:rsidDel="005653D3">
        <w:rPr>
          <w:rFonts w:ascii="Arial" w:hAnsi="Arial" w:cs="Arial"/>
          <w:lang w:val="en-GB"/>
        </w:rPr>
        <w:t>~</w:t>
      </w:r>
      <w:r w:rsidR="002A3A74">
        <w:rPr>
          <w:lang w:val="en-GB"/>
        </w:rPr>
        <w:t>0.</w:t>
      </w:r>
      <w:r w:rsidR="00E77D0E">
        <w:rPr>
          <w:lang w:val="en-GB"/>
        </w:rPr>
        <w:t>2 dB</w:t>
      </w:r>
      <w:r w:rsidR="005377FE">
        <w:rPr>
          <w:lang w:val="en-GB"/>
        </w:rPr>
        <w:t xml:space="preserve"> according t</w:t>
      </w:r>
      <w:r w:rsidR="005377FE" w:rsidRPr="005377FE">
        <w:rPr>
          <w:lang w:val="en-GB"/>
        </w:rPr>
        <w:t xml:space="preserve">o </w:t>
      </w:r>
      <w:r w:rsidR="005377FE" w:rsidRPr="00BB2174">
        <w:rPr>
          <w:lang w:val="en-GB"/>
        </w:rPr>
        <w:fldChar w:fldCharType="begin"/>
      </w:r>
      <w:r w:rsidR="005377FE" w:rsidRPr="00BB2174">
        <w:rPr>
          <w:lang w:val="en-GB"/>
        </w:rPr>
        <w:instrText xml:space="preserve"> REF _Ref83924796 \h  \* MERGEFORMAT </w:instrText>
      </w:r>
      <w:r w:rsidR="005377FE" w:rsidRPr="00BB2174">
        <w:rPr>
          <w:lang w:val="en-GB"/>
        </w:rPr>
      </w:r>
      <w:r w:rsidR="005377FE" w:rsidRPr="00BB2174">
        <w:rPr>
          <w:lang w:val="en-GB"/>
        </w:rPr>
        <w:fldChar w:fldCharType="separate"/>
      </w:r>
      <w:r w:rsidR="00F843F8" w:rsidRPr="00B51F17">
        <w:t>Figure 7</w:t>
      </w:r>
      <w:r w:rsidR="005377FE" w:rsidRPr="00BB2174">
        <w:rPr>
          <w:lang w:val="en-GB"/>
        </w:rPr>
        <w:fldChar w:fldCharType="end"/>
      </w:r>
      <w:r w:rsidRPr="005377FE">
        <w:rPr>
          <w:lang w:val="en-GB"/>
        </w:rPr>
        <w:t>.</w:t>
      </w:r>
    </w:p>
    <w:p w14:paraId="56F305D8" w14:textId="77777777" w:rsidR="00175E49" w:rsidRDefault="00175E49" w:rsidP="00403EFE">
      <w:pPr>
        <w:pStyle w:val="BodyText"/>
        <w:spacing w:after="0"/>
        <w:rPr>
          <w:rFonts w:cstheme="minorHAnsi"/>
          <w:b/>
          <w:lang w:val="en-GB"/>
        </w:rPr>
      </w:pPr>
    </w:p>
    <w:p w14:paraId="4434136C" w14:textId="48807B22" w:rsidR="00403EFE" w:rsidRPr="006B77CE" w:rsidRDefault="00403EFE" w:rsidP="00403EFE">
      <w:pPr>
        <w:pStyle w:val="BodyText"/>
        <w:spacing w:after="0"/>
        <w:rPr>
          <w:rFonts w:cstheme="minorHAnsi"/>
          <w:b/>
          <w:lang w:val="en-GB"/>
        </w:rPr>
      </w:pPr>
      <w:r w:rsidRPr="006B77CE">
        <w:rPr>
          <w:rFonts w:cstheme="minorHAnsi"/>
          <w:b/>
          <w:lang w:val="en-GB"/>
        </w:rPr>
        <w:t>Observation</w:t>
      </w:r>
      <w:r>
        <w:rPr>
          <w:b/>
          <w:bCs/>
        </w:rPr>
        <w:t xml:space="preserve"> </w:t>
      </w:r>
      <w:r w:rsidR="00F30DD8">
        <w:rPr>
          <w:b/>
          <w:bCs/>
        </w:rPr>
        <w:t>20</w:t>
      </w:r>
      <w:r w:rsidRPr="006B77CE">
        <w:rPr>
          <w:rFonts w:cstheme="minorHAnsi"/>
          <w:b/>
          <w:lang w:val="en-GB"/>
        </w:rPr>
        <w:t>:</w:t>
      </w:r>
    </w:p>
    <w:p w14:paraId="5AA12A3F" w14:textId="6AA232BF" w:rsidR="00403EFE" w:rsidRPr="00BB2174" w:rsidRDefault="00403EFE" w:rsidP="00BB2174">
      <w:pPr>
        <w:pStyle w:val="BodyText"/>
        <w:numPr>
          <w:ilvl w:val="0"/>
          <w:numId w:val="44"/>
        </w:numPr>
        <w:spacing w:after="240"/>
      </w:pPr>
      <w:r>
        <w:rPr>
          <w:rFonts w:cstheme="minorHAnsi"/>
        </w:rPr>
        <w:t>FH over 3 frequencies can create more balanced FH patterns in JCE contexts, and also gives a diversity gain of about 0.5 dB @ 10% BLER and 1.5 dB @ 1% BLER</w:t>
      </w:r>
      <w:r w:rsidR="00B30E1C">
        <w:rPr>
          <w:rFonts w:cstheme="minorHAnsi"/>
        </w:rPr>
        <w:t>.</w:t>
      </w:r>
    </w:p>
    <w:p w14:paraId="088645F1" w14:textId="0F784E3C" w:rsidR="00734847" w:rsidRDefault="00734847" w:rsidP="00B86658">
      <w:pPr>
        <w:keepNext/>
        <w:spacing w:after="0"/>
        <w:jc w:val="center"/>
      </w:pPr>
      <w:r w:rsidRPr="00734847">
        <w:rPr>
          <w:noProof/>
        </w:rPr>
        <w:lastRenderedPageBreak/>
        <w:drawing>
          <wp:inline distT="0" distB="0" distL="0" distR="0" wp14:anchorId="6924CD90" wp14:editId="3E168E62">
            <wp:extent cx="4178710" cy="350726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07284" cy="3531243"/>
                    </a:xfrm>
                    <a:prstGeom prst="rect">
                      <a:avLst/>
                    </a:prstGeom>
                    <a:noFill/>
                    <a:ln>
                      <a:noFill/>
                    </a:ln>
                  </pic:spPr>
                </pic:pic>
              </a:graphicData>
            </a:graphic>
          </wp:inline>
        </w:drawing>
      </w:r>
    </w:p>
    <w:p w14:paraId="155DFF55" w14:textId="6EE846AE" w:rsidR="006E4517" w:rsidRPr="002514C7" w:rsidRDefault="006E4517" w:rsidP="00BB2174">
      <w:pPr>
        <w:pStyle w:val="Caption"/>
      </w:pPr>
      <w:bookmarkStart w:id="19" w:name="_Ref8392479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6</w:t>
      </w:r>
      <w:r w:rsidRPr="00AE28EC">
        <w:rPr>
          <w:b w:val="0"/>
          <w:bCs w:val="0"/>
        </w:rPr>
        <w:fldChar w:fldCharType="end"/>
      </w:r>
      <w:bookmarkEnd w:id="19"/>
      <w:r w:rsidRPr="00BE11EF">
        <w:rPr>
          <w:b w:val="0"/>
          <w:bCs w:val="0"/>
        </w:rPr>
        <w:t xml:space="preserve">. BLER performance with </w:t>
      </w:r>
      <w:r>
        <w:rPr>
          <w:b w:val="0"/>
          <w:bCs w:val="0"/>
        </w:rPr>
        <w:t>JCE and inter-slot FH, for different hopping patterns</w:t>
      </w:r>
      <w:r w:rsidR="005653D3">
        <w:rPr>
          <w:b w:val="0"/>
          <w:bCs w:val="0"/>
        </w:rPr>
        <w:t xml:space="preserve"> and number of hop frequencies</w:t>
      </w:r>
    </w:p>
    <w:p w14:paraId="669DD387" w14:textId="561F23B9" w:rsidR="00BC7EB8" w:rsidRDefault="005D2628" w:rsidP="00B86658">
      <w:pPr>
        <w:keepNext/>
        <w:spacing w:after="0"/>
        <w:jc w:val="center"/>
      </w:pPr>
      <w:r w:rsidRPr="005D2628">
        <w:rPr>
          <w:noProof/>
        </w:rPr>
        <w:drawing>
          <wp:inline distT="0" distB="0" distL="0" distR="0" wp14:anchorId="486B7FA6" wp14:editId="54E6222C">
            <wp:extent cx="4187900" cy="35766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01486" cy="3588271"/>
                    </a:xfrm>
                    <a:prstGeom prst="rect">
                      <a:avLst/>
                    </a:prstGeom>
                    <a:noFill/>
                    <a:ln>
                      <a:noFill/>
                    </a:ln>
                  </pic:spPr>
                </pic:pic>
              </a:graphicData>
            </a:graphic>
          </wp:inline>
        </w:drawing>
      </w:r>
    </w:p>
    <w:p w14:paraId="38EFC8A0" w14:textId="31DE10CE" w:rsidR="005653D3" w:rsidRDefault="005653D3" w:rsidP="005653D3">
      <w:pPr>
        <w:pStyle w:val="Caption"/>
        <w:rPr>
          <w:b w:val="0"/>
        </w:rPr>
      </w:pPr>
      <w:bookmarkStart w:id="20" w:name="_Ref8392479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843F8">
        <w:rPr>
          <w:b w:val="0"/>
          <w:bCs w:val="0"/>
          <w:noProof/>
        </w:rPr>
        <w:t>7</w:t>
      </w:r>
      <w:r w:rsidRPr="00AE28EC">
        <w:rPr>
          <w:b w:val="0"/>
          <w:bCs w:val="0"/>
        </w:rPr>
        <w:fldChar w:fldCharType="end"/>
      </w:r>
      <w:bookmarkEnd w:id="20"/>
      <w:r w:rsidRPr="00BE11EF">
        <w:rPr>
          <w:b w:val="0"/>
          <w:bCs w:val="0"/>
        </w:rPr>
        <w:t xml:space="preserve">. BLER performance with </w:t>
      </w:r>
      <w:r>
        <w:rPr>
          <w:b w:val="0"/>
          <w:bCs w:val="0"/>
        </w:rPr>
        <w:t xml:space="preserve">inter-slot FH, for different number of </w:t>
      </w:r>
      <w:r w:rsidR="0038302D">
        <w:rPr>
          <w:b w:val="0"/>
          <w:bCs w:val="0"/>
        </w:rPr>
        <w:t>hop frequencies, with and without JCE</w:t>
      </w:r>
    </w:p>
    <w:p w14:paraId="0DC1A7E6" w14:textId="35991545" w:rsidR="004F7D6E" w:rsidRDefault="004F7D6E" w:rsidP="004F7D6E">
      <w:pPr>
        <w:pStyle w:val="Heading1"/>
      </w:pPr>
      <w:r>
        <w:lastRenderedPageBreak/>
        <w:t>Summary</w:t>
      </w:r>
    </w:p>
    <w:p w14:paraId="1F0694F2" w14:textId="04009CB3" w:rsidR="000125C4" w:rsidRDefault="00644E74" w:rsidP="00F77F9F">
      <w:pPr>
        <w:pStyle w:val="BodyText"/>
        <w:rPr>
          <w:rFonts w:cstheme="minorHAnsi"/>
        </w:rPr>
      </w:pPr>
      <w:r>
        <w:t xml:space="preserve">In this contribution, we first considered details of the frequency hopping (FH) design, considering suitable patterns and their relation to DMRS bundles. </w:t>
      </w:r>
      <w:r w:rsidR="00874425">
        <w:t xml:space="preserve">We then discussed an open issue in the current specifications </w:t>
      </w:r>
      <w:r w:rsidR="0006562F">
        <w:t>on how events are defined for the purpose of time domain window determination</w:t>
      </w:r>
      <w:r w:rsidR="00356FB9" w:rsidRPr="00356FB9">
        <w:t xml:space="preserve"> </w:t>
      </w:r>
      <w:r w:rsidR="00356FB9">
        <w:t>as well as suitable values for maximum duration of the time domain window</w:t>
      </w:r>
      <w:r w:rsidR="00874425">
        <w:t xml:space="preserve">.  </w:t>
      </w:r>
      <w:r>
        <w:t>How to specify transmit power control (TPC) using DCI format 2_2 was also covered. Lastly, performance results on the benefit of JCE</w:t>
      </w:r>
      <w:r w:rsidR="005F5424">
        <w:t xml:space="preserve"> and </w:t>
      </w:r>
      <w:r>
        <w:t>different frequency hopping patterns were given.</w:t>
      </w:r>
    </w:p>
    <w:p w14:paraId="5DB85CEE" w14:textId="65B9ABF4" w:rsidR="00D4525A" w:rsidRDefault="007D7E7B" w:rsidP="00F77F9F">
      <w:pPr>
        <w:pStyle w:val="BodyText"/>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 xml:space="preserve">can be </w:t>
      </w:r>
      <w:r w:rsidRPr="00916A06">
        <w:rPr>
          <w:rFonts w:cstheme="minorHAnsi"/>
          <w:b/>
        </w:rPr>
        <w:t>summarized</w:t>
      </w:r>
      <w:r>
        <w:rPr>
          <w:rFonts w:cstheme="minorHAnsi"/>
        </w:rPr>
        <w:t xml:space="preserve"> as:</w:t>
      </w:r>
    </w:p>
    <w:p w14:paraId="5A84E075" w14:textId="77777777" w:rsidR="00BD0994" w:rsidRPr="00C2548F" w:rsidRDefault="00BD0994" w:rsidP="00BD0994">
      <w:pPr>
        <w:pStyle w:val="BodyText"/>
        <w:keepNext/>
        <w:numPr>
          <w:ilvl w:val="0"/>
          <w:numId w:val="75"/>
        </w:numPr>
        <w:spacing w:after="0"/>
        <w:rPr>
          <w:rFonts w:cstheme="minorHAnsi"/>
          <w:bCs/>
        </w:rPr>
      </w:pPr>
      <w:r w:rsidRPr="00C2548F">
        <w:rPr>
          <w:rFonts w:cstheme="minorHAnsi"/>
          <w:bCs/>
        </w:rPr>
        <w:t>Determining frequency hopping offsets per slot rather than per repetition allows UEs to share frequency resources more efficiently, since collisions in the hopping patterns can be avoided</w:t>
      </w:r>
    </w:p>
    <w:p w14:paraId="1DE31919" w14:textId="77777777" w:rsidR="00CD18C4" w:rsidRPr="00F71037" w:rsidRDefault="00CD18C4" w:rsidP="00CD18C4">
      <w:pPr>
        <w:pStyle w:val="BodyText"/>
        <w:numPr>
          <w:ilvl w:val="0"/>
          <w:numId w:val="75"/>
        </w:numPr>
        <w:spacing w:after="0"/>
        <w:rPr>
          <w:rFonts w:cstheme="minorHAnsi"/>
        </w:rPr>
      </w:pPr>
      <w:r w:rsidRPr="00F71037">
        <w:rPr>
          <w:rFonts w:cstheme="minorHAnsi"/>
        </w:rPr>
        <w:t>Allowing the gNB to independently control the frequency hopping pattern and time domain windows separately can potentially avoid unnecessarily restricting and complicating network scheduling.</w:t>
      </w:r>
    </w:p>
    <w:p w14:paraId="2C468FBA" w14:textId="77777777" w:rsidR="00CD18C4" w:rsidRPr="00F71037" w:rsidRDefault="00CD18C4" w:rsidP="00CD18C4">
      <w:pPr>
        <w:pStyle w:val="BodyText"/>
        <w:numPr>
          <w:ilvl w:val="1"/>
          <w:numId w:val="75"/>
        </w:numPr>
        <w:spacing w:after="0"/>
        <w:rPr>
          <w:rFonts w:cstheme="minorHAnsi"/>
        </w:rPr>
      </w:pPr>
      <w:r w:rsidRPr="00F71037">
        <w:rPr>
          <w:rFonts w:cstheme="minorHAnsi"/>
        </w:rPr>
        <w:t>The bundle size is gNB implementation and follows from the hopping pattern and time domain window size, and so frequency hopping bundling size does not need explicit configuration.</w:t>
      </w:r>
    </w:p>
    <w:p w14:paraId="2A049C87" w14:textId="77777777" w:rsidR="00CD18C4" w:rsidRPr="00F71037" w:rsidRDefault="00CD18C4" w:rsidP="00CD18C4">
      <w:pPr>
        <w:pStyle w:val="BodyText"/>
        <w:numPr>
          <w:ilvl w:val="1"/>
          <w:numId w:val="75"/>
        </w:numPr>
        <w:spacing w:after="0"/>
        <w:rPr>
          <w:rFonts w:cstheme="minorHAnsi"/>
        </w:rPr>
      </w:pPr>
      <w:r w:rsidRPr="00F71037">
        <w:rPr>
          <w:rFonts w:cstheme="minorHAnsi"/>
        </w:rPr>
        <w:t>Not all UEs may benefit from, or support, DMRS bundling, but such UEs should be able to hop with the same patterns used by DMRS bundling UEs in the same cell.</w:t>
      </w:r>
    </w:p>
    <w:p w14:paraId="592AFEA1" w14:textId="77777777" w:rsidR="00F81988" w:rsidRPr="00AC5001" w:rsidRDefault="00F81988" w:rsidP="00F81988">
      <w:pPr>
        <w:pStyle w:val="BodyText"/>
        <w:keepNext/>
        <w:numPr>
          <w:ilvl w:val="0"/>
          <w:numId w:val="75"/>
        </w:numPr>
        <w:spacing w:after="0"/>
        <w:rPr>
          <w:rFonts w:cstheme="minorHAnsi"/>
          <w:bCs/>
        </w:rPr>
      </w:pPr>
      <w:r w:rsidRPr="00F71037">
        <w:rPr>
          <w:rFonts w:cstheme="minorHAnsi"/>
        </w:rPr>
        <w:t xml:space="preserve">Appropriate FH patterns for common TDD patterns as well as for FDD can be achieved through a simple rule where a hopping index changes once per </w:t>
      </w:r>
      <w:r w:rsidRPr="00F71037">
        <w:rPr>
          <w:rFonts w:cstheme="minorHAnsi"/>
          <w:i/>
        </w:rPr>
        <w:t>N</w:t>
      </w:r>
      <w:r w:rsidRPr="00F71037">
        <w:rPr>
          <w:rFonts w:cstheme="minorHAnsi"/>
        </w:rPr>
        <w:t xml:space="preserve"> slots, and where the frequency resource to use for any UL slot is determined based on the hopping index for that slot.</w:t>
      </w:r>
    </w:p>
    <w:p w14:paraId="63BB0DE7" w14:textId="77777777" w:rsidR="00CD18C4" w:rsidRPr="00F71037" w:rsidRDefault="00CD18C4" w:rsidP="00CD18C4">
      <w:pPr>
        <w:pStyle w:val="BodyText"/>
        <w:numPr>
          <w:ilvl w:val="0"/>
          <w:numId w:val="75"/>
        </w:numPr>
        <w:spacing w:after="0"/>
        <w:rPr>
          <w:rFonts w:cstheme="minorHAnsi"/>
        </w:rPr>
      </w:pPr>
      <w:r w:rsidRPr="00F71037">
        <w:rPr>
          <w:rFonts w:cstheme="minorHAnsi"/>
        </w:rPr>
        <w:t>Going from 2 hops to 3 hops also gives a notable diversity gain, improving coverage further</w:t>
      </w:r>
    </w:p>
    <w:p w14:paraId="7F60CE99" w14:textId="03690029" w:rsidR="00CD18C4" w:rsidRPr="00F71037" w:rsidRDefault="00CD18C4" w:rsidP="00B86658">
      <w:pPr>
        <w:pStyle w:val="BodyText"/>
        <w:numPr>
          <w:ilvl w:val="0"/>
          <w:numId w:val="75"/>
        </w:numPr>
        <w:spacing w:after="0"/>
        <w:rPr>
          <w:rFonts w:cstheme="minorHAnsi"/>
        </w:rPr>
      </w:pPr>
      <w:r w:rsidRPr="00F71037">
        <w:rPr>
          <w:rFonts w:cstheme="minorHAnsi"/>
        </w:rPr>
        <w:t>FH over 3 frequencies can create more balanced FH patterns in JCE contexts, and also gives a diversity gain of about 0.5 dB @ 10% BLER and 1.5 dB @ 1% BLER.</w:t>
      </w:r>
    </w:p>
    <w:p w14:paraId="37F506A5" w14:textId="23A920AD" w:rsidR="00A97EE5" w:rsidRPr="00F71037" w:rsidRDefault="00A97EE5" w:rsidP="00A97EE5">
      <w:pPr>
        <w:pStyle w:val="ListParagraph"/>
        <w:numPr>
          <w:ilvl w:val="0"/>
          <w:numId w:val="75"/>
        </w:numPr>
        <w:spacing w:after="0"/>
        <w:rPr>
          <w:rFonts w:asciiTheme="minorHAnsi" w:hAnsiTheme="minorHAnsi" w:cstheme="minorHAnsi"/>
          <w:bCs/>
          <w:lang w:val="en-GB"/>
        </w:rPr>
      </w:pPr>
      <w:r w:rsidRPr="00F71037">
        <w:rPr>
          <w:rFonts w:asciiTheme="minorHAnsi" w:hAnsiTheme="minorHAnsi" w:cstheme="minorHAnsi"/>
          <w:bCs/>
          <w:lang w:val="en-GB"/>
        </w:rPr>
        <w:t>The current definition of events in 38.214 seems clear with respect to the interaction of dynamic and semi-static events</w:t>
      </w:r>
    </w:p>
    <w:p w14:paraId="2A57590D" w14:textId="03A7A8C9" w:rsidR="00A97EE5" w:rsidRPr="00F71037" w:rsidRDefault="00A97EE5" w:rsidP="00F71037">
      <w:pPr>
        <w:pStyle w:val="ListParagraph"/>
        <w:numPr>
          <w:ilvl w:val="0"/>
          <w:numId w:val="75"/>
        </w:numPr>
        <w:spacing w:after="0"/>
        <w:rPr>
          <w:rFonts w:asciiTheme="minorHAnsi" w:hAnsiTheme="minorHAnsi" w:cstheme="minorHAnsi"/>
          <w:bCs/>
          <w:lang w:val="en-GB"/>
        </w:rPr>
      </w:pPr>
      <w:r w:rsidRPr="00F71037">
        <w:rPr>
          <w:rFonts w:asciiTheme="minorHAnsi" w:hAnsiTheme="minorHAnsi" w:cstheme="minorHAnsi"/>
          <w:bCs/>
          <w:lang w:val="en-GB"/>
        </w:rPr>
        <w:t>UEs supporting small maximum duration values, especially those less than 8 slots, will not function well in commonly used TDD patterns.</w:t>
      </w:r>
    </w:p>
    <w:p w14:paraId="539EBF22" w14:textId="7F4ABE9B" w:rsidR="00A97EE5" w:rsidRPr="00F71037" w:rsidRDefault="00A97EE5" w:rsidP="00F71037">
      <w:pPr>
        <w:pStyle w:val="ListParagraph"/>
        <w:numPr>
          <w:ilvl w:val="0"/>
          <w:numId w:val="75"/>
        </w:numPr>
        <w:spacing w:after="0"/>
        <w:rPr>
          <w:rFonts w:asciiTheme="minorHAnsi" w:hAnsiTheme="minorHAnsi" w:cstheme="minorHAnsi"/>
          <w:b/>
          <w:lang w:val="en-GB"/>
        </w:rPr>
      </w:pPr>
      <w:r w:rsidRPr="00F71037">
        <w:rPr>
          <w:rFonts w:asciiTheme="minorHAnsi" w:eastAsiaTheme="minorEastAsia" w:hAnsiTheme="minorHAnsi" w:cstheme="minorHAnsi"/>
          <w:lang w:val="en-GB"/>
        </w:rPr>
        <w:t xml:space="preserve">Interpretation 1 from RAN1#107bis, where </w:t>
      </w:r>
      <m:oMath>
        <m:sSub>
          <m:sSubPr>
            <m:ctrlPr>
              <w:rPr>
                <w:rFonts w:ascii="Cambria Math" w:eastAsiaTheme="minorEastAsia" w:hAnsi="Cambria Math" w:cstheme="minorHAnsi"/>
                <w:i/>
                <w:lang w:val="en-GB"/>
              </w:rPr>
            </m:ctrlPr>
          </m:sSubPr>
          <m:e>
            <m:r>
              <w:rPr>
                <w:rFonts w:ascii="Cambria Math" w:eastAsiaTheme="minorEastAsia" w:hAnsi="Cambria Math" w:cstheme="minorHAnsi"/>
                <w:lang w:val="en-GB"/>
              </w:rPr>
              <m:t>K</m:t>
            </m:r>
          </m:e>
          <m:sub>
            <m:r>
              <w:rPr>
                <w:rFonts w:ascii="Cambria Math" w:eastAsiaTheme="minorEastAsia" w:hAnsi="Cambria Math" w:cstheme="minorHAnsi"/>
                <w:lang w:val="en-GB"/>
              </w:rPr>
              <m:t>PUSCH</m:t>
            </m:r>
          </m:sub>
        </m:sSub>
        <m:r>
          <w:rPr>
            <w:rFonts w:ascii="Cambria Math" w:eastAsiaTheme="minorEastAsia" w:hAnsi="Cambria Math" w:cstheme="minorHAnsi"/>
            <w:lang w:val="en-GB"/>
          </w:rPr>
          <m:t>(i)</m:t>
        </m:r>
      </m:oMath>
      <w:r w:rsidRPr="00F71037">
        <w:rPr>
          <w:rFonts w:asciiTheme="minorHAnsi" w:eastAsiaTheme="minorEastAsia" w:hAnsiTheme="minorHAnsi" w:cstheme="minorHAnsi"/>
          <w:lang w:val="en-GB"/>
        </w:rPr>
        <w:t xml:space="preserve"> is the time from the PDCCH to the PUSCH repetition in transmission occasion </w:t>
      </w:r>
      <m:oMath>
        <m:r>
          <w:rPr>
            <w:rFonts w:ascii="Cambria Math" w:eastAsiaTheme="minorEastAsia" w:hAnsi="Cambria Math" w:cstheme="minorHAnsi"/>
            <w:lang w:val="en-GB"/>
          </w:rPr>
          <m:t>i</m:t>
        </m:r>
      </m:oMath>
      <w:r w:rsidRPr="00F71037">
        <w:rPr>
          <w:rFonts w:asciiTheme="minorHAnsi" w:eastAsiaTheme="minorEastAsia" w:hAnsiTheme="minorHAnsi" w:cstheme="minorHAnsi"/>
          <w:lang w:val="en-GB"/>
        </w:rPr>
        <w:t xml:space="preserve"> for dynamically granted PUSCH is the correct interpretation</w:t>
      </w:r>
      <w:r w:rsidR="006B1FAE">
        <w:rPr>
          <w:rFonts w:asciiTheme="minorHAnsi" w:eastAsiaTheme="minorEastAsia" w:hAnsiTheme="minorHAnsi" w:cstheme="minorHAnsi"/>
          <w:lang w:val="en-GB"/>
        </w:rPr>
        <w:t>.</w:t>
      </w:r>
    </w:p>
    <w:p w14:paraId="35B88AA6" w14:textId="6EA0248F" w:rsidR="00A97EE5" w:rsidRPr="00F71037" w:rsidRDefault="00A97EE5" w:rsidP="00874425">
      <w:pPr>
        <w:pStyle w:val="BodyText"/>
        <w:numPr>
          <w:ilvl w:val="0"/>
          <w:numId w:val="75"/>
        </w:numPr>
        <w:spacing w:after="0"/>
        <w:rPr>
          <w:rFonts w:cstheme="minorHAnsi"/>
        </w:rPr>
      </w:pPr>
      <w:r w:rsidRPr="00F71037">
        <w:rPr>
          <w:rFonts w:eastAsiaTheme="minorEastAsia" w:cstheme="minorHAnsi"/>
          <w:lang w:val="en-GB"/>
        </w:rPr>
        <w:t xml:space="preserve">DCI 2_2 TPC commands for DG PUSCH received during a nominal TDW already take effect after the nominal TDW in </w:t>
      </w:r>
      <w:r w:rsidRPr="00F71037">
        <w:rPr>
          <w:rFonts w:eastAsiaTheme="minorEastAsia" w:cstheme="minorHAnsi"/>
          <w:szCs w:val="24"/>
          <w:lang w:val="en-GB" w:eastAsia="ja-JP"/>
        </w:rPr>
        <w:t>Rel-15/16 operation</w:t>
      </w:r>
      <w:r w:rsidRPr="00F71037">
        <w:rPr>
          <w:rFonts w:eastAsiaTheme="minorEastAsia" w:cstheme="minorHAnsi"/>
          <w:lang w:val="en-GB"/>
        </w:rPr>
        <w:t>, and a Rel-17 mechanism for DMRS bundling to defer TPC commands is only needed for CG PUSCH for DCI 2_2 TPC commands.</w:t>
      </w:r>
    </w:p>
    <w:p w14:paraId="6E37CF9A" w14:textId="290D1BA8" w:rsidR="00874425" w:rsidRPr="00F71037" w:rsidRDefault="00874425" w:rsidP="00B86658">
      <w:pPr>
        <w:pStyle w:val="BodyText"/>
        <w:numPr>
          <w:ilvl w:val="0"/>
          <w:numId w:val="75"/>
        </w:numPr>
        <w:spacing w:after="0"/>
        <w:rPr>
          <w:rFonts w:cstheme="minorHAnsi"/>
        </w:rPr>
      </w:pPr>
      <w:r w:rsidRPr="00F71037">
        <w:rPr>
          <w:rFonts w:cstheme="minorHAnsi"/>
          <w:lang w:val="en-GB"/>
        </w:rPr>
        <w:t xml:space="preserve">Absolute power control does not seem to be supported for DCI format 2_2 in the present specifications. </w:t>
      </w:r>
    </w:p>
    <w:p w14:paraId="4720C5D5" w14:textId="77777777" w:rsidR="00787E05" w:rsidRPr="00F06536" w:rsidRDefault="00787E05" w:rsidP="00F06536">
      <w:pPr>
        <w:rPr>
          <w:rFonts w:cstheme="minorHAnsi"/>
          <w:lang w:val="en-GB"/>
        </w:rPr>
      </w:pP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5B1DD087" w:rsidR="008A0725" w:rsidRDefault="0076251F" w:rsidP="00B86658">
      <w:pPr>
        <w:pStyle w:val="BodyText"/>
        <w:keepNext/>
        <w:spacing w:after="0"/>
      </w:pPr>
      <w:r w:rsidRPr="00EF6B68">
        <w:rPr>
          <w:rFonts w:cstheme="minorHAnsi"/>
          <w:b/>
          <w:bCs/>
        </w:rPr>
        <w:lastRenderedPageBreak/>
        <w:t>Proposals:</w:t>
      </w:r>
    </w:p>
    <w:p w14:paraId="7BB3299A" w14:textId="4198B5C9" w:rsidR="00617FC9" w:rsidRPr="00C2548F" w:rsidRDefault="00617FC9" w:rsidP="00F71037">
      <w:pPr>
        <w:pStyle w:val="ListParagraph"/>
        <w:keepNext/>
        <w:numPr>
          <w:ilvl w:val="0"/>
          <w:numId w:val="81"/>
        </w:numPr>
        <w:spacing w:after="0" w:line="280" w:lineRule="atLeast"/>
        <w:contextualSpacing w:val="0"/>
        <w:rPr>
          <w:rFonts w:asciiTheme="minorHAnsi" w:hAnsiTheme="minorHAnsi" w:cstheme="minorHAnsi"/>
          <w:szCs w:val="22"/>
          <w:lang w:eastAsia="zh-CN"/>
        </w:rPr>
      </w:pPr>
      <w:r w:rsidRPr="00C2548F">
        <w:rPr>
          <w:rFonts w:asciiTheme="minorHAnsi" w:hAnsiTheme="minorHAnsi" w:cstheme="minorHAnsi"/>
          <w:szCs w:val="22"/>
          <w:lang w:eastAsia="zh-CN"/>
        </w:rPr>
        <w:t xml:space="preserve">Enhanced frequency hopping designs for PUCCH </w:t>
      </w:r>
      <w:r w:rsidR="001728EB" w:rsidRPr="00C2548F">
        <w:rPr>
          <w:rFonts w:asciiTheme="minorHAnsi" w:hAnsiTheme="minorHAnsi" w:cstheme="minorHAnsi"/>
          <w:szCs w:val="22"/>
          <w:lang w:eastAsia="zh-CN"/>
        </w:rPr>
        <w:t xml:space="preserve">and PUSCH </w:t>
      </w:r>
      <w:r w:rsidRPr="00C2548F">
        <w:rPr>
          <w:rFonts w:asciiTheme="minorHAnsi" w:hAnsiTheme="minorHAnsi" w:cstheme="minorHAnsi"/>
          <w:szCs w:val="22"/>
          <w:lang w:eastAsia="zh-CN"/>
        </w:rPr>
        <w:t>include the following:</w:t>
      </w:r>
    </w:p>
    <w:p w14:paraId="573D303B" w14:textId="1F9BEA21" w:rsidR="00040DED" w:rsidRPr="00C2548F" w:rsidRDefault="0088449C" w:rsidP="00040DED">
      <w:pPr>
        <w:pStyle w:val="ListParagraph"/>
        <w:numPr>
          <w:ilvl w:val="1"/>
          <w:numId w:val="81"/>
        </w:numPr>
        <w:rPr>
          <w:rFonts w:asciiTheme="minorHAnsi" w:hAnsiTheme="minorHAnsi" w:cstheme="minorHAnsi"/>
          <w:szCs w:val="22"/>
          <w:lang w:eastAsia="zh-CN"/>
        </w:rPr>
      </w:pPr>
      <w:r w:rsidRPr="00C2548F">
        <w:rPr>
          <w:rFonts w:asciiTheme="minorHAnsi" w:hAnsiTheme="minorHAnsi" w:cstheme="minorHAnsi"/>
          <w:szCs w:val="22"/>
          <w:lang w:eastAsia="zh-CN"/>
        </w:rPr>
        <w:t xml:space="preserve">Frequency </w:t>
      </w:r>
      <w:r w:rsidR="00617FC9" w:rsidRPr="00C2548F">
        <w:rPr>
          <w:rFonts w:asciiTheme="minorHAnsi" w:hAnsiTheme="minorHAnsi" w:cstheme="minorHAnsi"/>
          <w:szCs w:val="22"/>
          <w:lang w:eastAsia="zh-CN"/>
        </w:rPr>
        <w:t xml:space="preserve">hopping offsets are determined </w:t>
      </w:r>
      <w:r w:rsidR="00040DED" w:rsidRPr="00C2548F">
        <w:rPr>
          <w:rFonts w:asciiTheme="minorHAnsi" w:hAnsiTheme="minorHAnsi" w:cstheme="minorHAnsi"/>
          <w:szCs w:val="22"/>
          <w:lang w:eastAsia="zh-CN"/>
        </w:rPr>
        <w:t xml:space="preserve">from a hopping index that is calculated from </w:t>
      </w:r>
      <w:r w:rsidRPr="00C2548F">
        <w:rPr>
          <w:rFonts w:asciiTheme="minorHAnsi" w:hAnsiTheme="minorHAnsi" w:cstheme="minorHAnsi"/>
          <w:szCs w:val="22"/>
          <w:lang w:eastAsia="zh-CN"/>
        </w:rPr>
        <w:t>the</w:t>
      </w:r>
      <w:r w:rsidR="00617FC9" w:rsidRPr="00C2548F">
        <w:rPr>
          <w:rFonts w:asciiTheme="minorHAnsi" w:hAnsiTheme="minorHAnsi" w:cstheme="minorHAnsi"/>
          <w:szCs w:val="22"/>
          <w:lang w:eastAsia="zh-CN"/>
        </w:rPr>
        <w:t xml:space="preserve"> </w:t>
      </w:r>
      <w:r w:rsidRPr="00C2548F">
        <w:rPr>
          <w:rFonts w:asciiTheme="minorHAnsi" w:hAnsiTheme="minorHAnsi" w:cstheme="minorHAnsi"/>
          <w:szCs w:val="22"/>
          <w:lang w:eastAsia="zh-CN"/>
        </w:rPr>
        <w:t xml:space="preserve">(physical) </w:t>
      </w:r>
      <w:r w:rsidR="00617FC9" w:rsidRPr="00C2548F">
        <w:rPr>
          <w:rFonts w:asciiTheme="minorHAnsi" w:hAnsiTheme="minorHAnsi" w:cstheme="minorHAnsi"/>
          <w:szCs w:val="22"/>
          <w:lang w:eastAsia="zh-CN"/>
        </w:rPr>
        <w:t xml:space="preserve">slot </w:t>
      </w:r>
      <w:r w:rsidR="00040DED" w:rsidRPr="00C2548F">
        <w:rPr>
          <w:rFonts w:asciiTheme="minorHAnsi" w:hAnsiTheme="minorHAnsi" w:cstheme="minorHAnsi"/>
          <w:szCs w:val="22"/>
          <w:lang w:eastAsia="zh-CN"/>
        </w:rPr>
        <w:t>number</w:t>
      </w:r>
      <w:r w:rsidRPr="00C2548F">
        <w:rPr>
          <w:rFonts w:asciiTheme="minorHAnsi" w:hAnsiTheme="minorHAnsi" w:cstheme="minorHAnsi"/>
          <w:szCs w:val="22"/>
          <w:lang w:eastAsia="zh-CN"/>
        </w:rPr>
        <w:t xml:space="preserve">, where </w:t>
      </w:r>
      <w:r w:rsidR="00040DED" w:rsidRPr="00C2548F">
        <w:rPr>
          <w:rFonts w:asciiTheme="minorHAnsi" w:hAnsiTheme="minorHAnsi" w:cstheme="minorHAnsi"/>
          <w:szCs w:val="22"/>
          <w:lang w:eastAsia="zh-CN"/>
        </w:rPr>
        <w:t xml:space="preserve">the </w:t>
      </w:r>
      <w:r w:rsidRPr="00C2548F">
        <w:rPr>
          <w:rFonts w:asciiTheme="minorHAnsi" w:hAnsiTheme="minorHAnsi" w:cstheme="minorHAnsi"/>
          <w:szCs w:val="22"/>
          <w:lang w:eastAsia="zh-CN"/>
        </w:rPr>
        <w:t>hopping index changes once every N slots, the index can attain up to M values</w:t>
      </w:r>
      <w:r w:rsidR="00040DED" w:rsidRPr="00C2548F">
        <w:rPr>
          <w:rFonts w:asciiTheme="minorHAnsi" w:hAnsiTheme="minorHAnsi" w:cstheme="minorHAnsi"/>
          <w:szCs w:val="22"/>
          <w:lang w:eastAsia="zh-CN"/>
        </w:rPr>
        <w:t>, and the hopping pattern has a configurable time shift (in the unit of slots).</w:t>
      </w:r>
    </w:p>
    <w:p w14:paraId="7E6F017C" w14:textId="331FA4BD" w:rsidR="0088449C" w:rsidRPr="00C2548F" w:rsidRDefault="00040DED" w:rsidP="00B51F17">
      <w:pPr>
        <w:pStyle w:val="ListParagraph"/>
        <w:numPr>
          <w:ilvl w:val="2"/>
          <w:numId w:val="81"/>
        </w:numPr>
        <w:spacing w:after="0" w:line="280" w:lineRule="atLeast"/>
        <w:contextualSpacing w:val="0"/>
        <w:rPr>
          <w:rFonts w:asciiTheme="minorHAnsi" w:hAnsiTheme="minorHAnsi" w:cstheme="minorHAnsi"/>
          <w:szCs w:val="22"/>
          <w:lang w:eastAsia="zh-CN"/>
        </w:rPr>
      </w:pPr>
      <w:r w:rsidRPr="00C2548F">
        <w:rPr>
          <w:rFonts w:asciiTheme="minorHAnsi" w:hAnsiTheme="minorHAnsi" w:cstheme="minorHAnsi"/>
          <w:szCs w:val="22"/>
          <w:lang w:eastAsia="zh-CN"/>
        </w:rPr>
        <w:t xml:space="preserve"> </w:t>
      </w:r>
      <w:r w:rsidR="0088449C" w:rsidRPr="00C2548F">
        <w:rPr>
          <w:rFonts w:asciiTheme="minorHAnsi" w:hAnsiTheme="minorHAnsi" w:cstheme="minorHAnsi"/>
          <w:szCs w:val="22"/>
          <w:lang w:eastAsia="zh-CN"/>
        </w:rPr>
        <w:t xml:space="preserve">Increased hopping offsets over Rel-15 are supported, e.g. M=4, </w:t>
      </w:r>
    </w:p>
    <w:p w14:paraId="51555AB6" w14:textId="5F3FE430" w:rsidR="00617FC9" w:rsidRPr="00C2548F" w:rsidRDefault="00617FC9" w:rsidP="00B51F17">
      <w:pPr>
        <w:pStyle w:val="ListParagraph"/>
        <w:numPr>
          <w:ilvl w:val="1"/>
          <w:numId w:val="81"/>
        </w:numPr>
        <w:spacing w:after="160" w:line="280" w:lineRule="atLeast"/>
        <w:contextualSpacing w:val="0"/>
        <w:rPr>
          <w:rFonts w:asciiTheme="minorHAnsi" w:hAnsiTheme="minorHAnsi" w:cstheme="minorHAnsi"/>
          <w:szCs w:val="22"/>
          <w:lang w:eastAsia="zh-CN"/>
        </w:rPr>
      </w:pPr>
      <w:r w:rsidRPr="00C2548F">
        <w:rPr>
          <w:rFonts w:asciiTheme="minorHAnsi" w:hAnsiTheme="minorHAnsi" w:cstheme="minorHAnsi"/>
          <w:szCs w:val="22"/>
          <w:lang w:eastAsia="zh-CN"/>
        </w:rPr>
        <w:t>UE capability for support for the Rel-17 frequency hopping pattern is independent from that of joint channel estimation</w:t>
      </w:r>
    </w:p>
    <w:p w14:paraId="613742AA" w14:textId="77777777" w:rsidR="004D4E1E" w:rsidRPr="00F71037" w:rsidRDefault="004D4E1E" w:rsidP="00F71037">
      <w:pPr>
        <w:pStyle w:val="ListParagraph"/>
        <w:numPr>
          <w:ilvl w:val="0"/>
          <w:numId w:val="81"/>
        </w:numPr>
        <w:spacing w:after="160"/>
        <w:contextualSpacing w:val="0"/>
        <w:rPr>
          <w:rFonts w:asciiTheme="minorHAnsi" w:hAnsiTheme="minorHAnsi" w:cstheme="minorHAnsi"/>
          <w:szCs w:val="21"/>
        </w:rPr>
      </w:pPr>
      <w:r w:rsidRPr="00C2548F">
        <w:rPr>
          <w:rFonts w:asciiTheme="minorHAnsi" w:hAnsiTheme="minorHAnsi" w:cstheme="minorHAnsi"/>
          <w:szCs w:val="22"/>
          <w:lang w:val="en-GB"/>
        </w:rPr>
        <w:t>F</w:t>
      </w:r>
      <w:r w:rsidRPr="00C2548F">
        <w:rPr>
          <w:rFonts w:asciiTheme="minorHAnsi" w:hAnsiTheme="minorHAnsi" w:cstheme="minorHAnsi"/>
          <w:color w:val="000000"/>
          <w:szCs w:val="22"/>
        </w:rPr>
        <w:t>or</w:t>
      </w:r>
      <w:r w:rsidRPr="00C2548F">
        <w:rPr>
          <w:rFonts w:asciiTheme="minorHAnsi" w:hAnsiTheme="minorHAnsi" w:cstheme="minorHAnsi"/>
          <w:color w:val="000000"/>
          <w:szCs w:val="21"/>
        </w:rPr>
        <w:t xml:space="preserve"> </w:t>
      </w:r>
      <w:r w:rsidRPr="00C2548F">
        <w:rPr>
          <w:rFonts w:asciiTheme="minorHAnsi" w:hAnsiTheme="minorHAnsi" w:cstheme="minorHAnsi"/>
          <w:szCs w:val="21"/>
        </w:rPr>
        <w:t xml:space="preserve">HD-FDD </w:t>
      </w:r>
      <w:proofErr w:type="spellStart"/>
      <w:r w:rsidRPr="00C2548F">
        <w:rPr>
          <w:rFonts w:asciiTheme="minorHAnsi" w:hAnsiTheme="minorHAnsi" w:cstheme="minorHAnsi"/>
          <w:szCs w:val="21"/>
        </w:rPr>
        <w:t>RedCap</w:t>
      </w:r>
      <w:proofErr w:type="spellEnd"/>
      <w:r w:rsidRPr="00C2548F">
        <w:rPr>
          <w:rFonts w:asciiTheme="minorHAnsi" w:hAnsiTheme="minorHAnsi" w:cstheme="minorHAnsi"/>
          <w:szCs w:val="21"/>
        </w:rPr>
        <w:t xml:space="preserve"> UEs configured with DMRS bundling, an event is constituted for a case where the gap between two consecutive PUSCH repetitions overlaps with any symbol of </w:t>
      </w:r>
      <w:r w:rsidRPr="00C2548F">
        <w:rPr>
          <w:rFonts w:asciiTheme="minorHAnsi" w:hAnsiTheme="minorHAnsi" w:cstheme="minorHAnsi"/>
          <w:szCs w:val="21"/>
          <w:lang w:val="en-GB"/>
        </w:rPr>
        <w:t xml:space="preserve">downlink reception or downlink monitoring </w:t>
      </w:r>
      <w:r w:rsidRPr="00C2548F">
        <w:rPr>
          <w:rFonts w:asciiTheme="minorHAnsi" w:hAnsiTheme="minorHAnsi" w:cstheme="minorHAnsi"/>
          <w:szCs w:val="21"/>
        </w:rPr>
        <w:t>even if neither of the repetitions overlaps with it.</w:t>
      </w:r>
    </w:p>
    <w:p w14:paraId="2674C561" w14:textId="743D36C0" w:rsidR="00B216C0" w:rsidRPr="00C2548F" w:rsidRDefault="00B216C0" w:rsidP="00F71037">
      <w:pPr>
        <w:pStyle w:val="ListParagraph"/>
        <w:numPr>
          <w:ilvl w:val="0"/>
          <w:numId w:val="81"/>
        </w:numPr>
        <w:spacing w:after="160"/>
        <w:contextualSpacing w:val="0"/>
        <w:rPr>
          <w:rFonts w:asciiTheme="minorHAnsi" w:hAnsiTheme="minorHAnsi" w:cstheme="minorHAnsi"/>
          <w:lang w:val="en-GB"/>
        </w:rPr>
      </w:pPr>
      <w:r w:rsidRPr="00C2548F">
        <w:rPr>
          <w:rFonts w:asciiTheme="minorHAnsi" w:hAnsiTheme="minorHAnsi" w:cstheme="minorHAnsi"/>
          <w:lang w:val="en-GB"/>
        </w:rPr>
        <w:t>Inform RAN4 that the minimum value that can be reported as a max</w:t>
      </w:r>
      <w:r w:rsidR="004E02DB" w:rsidRPr="00C2548F">
        <w:rPr>
          <w:rFonts w:asciiTheme="minorHAnsi" w:hAnsiTheme="minorHAnsi" w:cstheme="minorHAnsi"/>
          <w:lang w:val="en-GB"/>
        </w:rPr>
        <w:t>imum</w:t>
      </w:r>
      <w:r w:rsidRPr="00C2548F">
        <w:rPr>
          <w:rFonts w:asciiTheme="minorHAnsi" w:hAnsiTheme="minorHAnsi" w:cstheme="minorHAnsi"/>
          <w:lang w:val="en-GB"/>
        </w:rPr>
        <w:t xml:space="preserve"> duration </w:t>
      </w:r>
      <w:r w:rsidR="004E02DB" w:rsidRPr="00C2548F">
        <w:rPr>
          <w:rFonts w:asciiTheme="minorHAnsi" w:hAnsiTheme="minorHAnsi" w:cstheme="minorHAnsi"/>
          <w:lang w:val="en-GB"/>
        </w:rPr>
        <w:t xml:space="preserve">for DMRS bundling </w:t>
      </w:r>
      <w:r w:rsidRPr="00C2548F">
        <w:rPr>
          <w:rFonts w:asciiTheme="minorHAnsi" w:hAnsiTheme="minorHAnsi" w:cstheme="minorHAnsi"/>
          <w:lang w:val="en-GB"/>
        </w:rPr>
        <w:t>at least for TDD should be no less than 8, and is preferably larger from a RAN1 perspective.</w:t>
      </w:r>
    </w:p>
    <w:p w14:paraId="76374DA0" w14:textId="764CF12A" w:rsidR="00874425" w:rsidRPr="00C2548F" w:rsidRDefault="00874425" w:rsidP="00874425">
      <w:pPr>
        <w:pStyle w:val="ListParagraph"/>
        <w:numPr>
          <w:ilvl w:val="0"/>
          <w:numId w:val="81"/>
        </w:numPr>
        <w:rPr>
          <w:rFonts w:asciiTheme="minorHAnsi" w:hAnsiTheme="minorHAnsi" w:cstheme="minorHAnsi"/>
          <w:lang w:val="en-GB"/>
        </w:rPr>
      </w:pPr>
      <w:r w:rsidRPr="00C2548F">
        <w:rPr>
          <w:rFonts w:asciiTheme="minorHAnsi" w:hAnsiTheme="minorHAnsi" w:cstheme="minorHAnsi"/>
          <w:lang w:val="en-GB"/>
        </w:rPr>
        <w:t>The Rel-15/16 (slot based) transmission occasion definitions are used to specify power control operation for DCI format 2_2 and DMRS bundling</w:t>
      </w:r>
    </w:p>
    <w:p w14:paraId="42A9F01B" w14:textId="77777777" w:rsidR="00874425" w:rsidRPr="00C2548F" w:rsidRDefault="00874425" w:rsidP="00874425">
      <w:pPr>
        <w:pStyle w:val="ListParagraph"/>
        <w:numPr>
          <w:ilvl w:val="1"/>
          <w:numId w:val="81"/>
        </w:numPr>
        <w:rPr>
          <w:rFonts w:asciiTheme="minorHAnsi" w:hAnsiTheme="minorHAnsi" w:cstheme="minorHAnsi"/>
          <w:lang w:val="en-GB"/>
        </w:rPr>
      </w:pPr>
      <w:r w:rsidRPr="00C2548F">
        <w:rPr>
          <w:rFonts w:asciiTheme="minorHAnsi" w:hAnsiTheme="minorHAnsi" w:cstheme="minorHAnsi"/>
          <w:lang w:val="en-GB"/>
        </w:rPr>
        <w:t>The following is used for accumulated TPC operation</w:t>
      </w:r>
    </w:p>
    <w:p w14:paraId="0C6D14C0" w14:textId="77777777" w:rsidR="00874425" w:rsidRPr="00F71037" w:rsidRDefault="00874425" w:rsidP="00874425">
      <w:pPr>
        <w:ind w:left="851" w:hanging="284"/>
        <w:rPr>
          <w:rFonts w:cstheme="minorHAnsi"/>
          <w:sz w:val="20"/>
          <w:szCs w:val="20"/>
        </w:rPr>
      </w:pPr>
      <w:r w:rsidRPr="00F71037">
        <w:rPr>
          <w:rFonts w:cstheme="minorHAnsi"/>
          <w:sz w:val="20"/>
          <w:szCs w:val="20"/>
        </w:rPr>
        <w:t>-</w:t>
      </w:r>
      <w:r w:rsidRPr="00F71037">
        <w:rPr>
          <w:rFonts w:cstheme="minorHAnsi"/>
          <w:sz w:val="20"/>
          <w:szCs w:val="20"/>
        </w:rPr>
        <w:tab/>
        <w:t xml:space="preserve">If the UE is provided </w:t>
      </w:r>
      <w:r w:rsidRPr="00F71037">
        <w:rPr>
          <w:rFonts w:cstheme="minorHAnsi"/>
          <w:i/>
          <w:iCs/>
          <w:sz w:val="20"/>
          <w:szCs w:val="20"/>
        </w:rPr>
        <w:t>PUSCH-DMRS-Bundling</w:t>
      </w:r>
      <w:r w:rsidRPr="00F71037">
        <w:rPr>
          <w:rFonts w:cstheme="minorHAnsi"/>
          <w:sz w:val="20"/>
          <w:szCs w:val="20"/>
        </w:rPr>
        <w:t xml:space="preserve"> = ‘enabled’, and for processing TPC command values provided by DCI format 2_2 with CRC scrambled by TPC-PUSCH-RNTI, if a transmission occasion </w:t>
      </w:r>
      <m:oMath>
        <m:r>
          <w:rPr>
            <w:rFonts w:ascii="Cambria Math" w:hAnsi="Cambria Math" w:cstheme="minorHAnsi"/>
            <w:sz w:val="20"/>
            <w:szCs w:val="20"/>
          </w:rPr>
          <m:t>i</m:t>
        </m:r>
      </m:oMath>
      <w:r w:rsidRPr="00F71037">
        <w:rPr>
          <w:rFonts w:cstheme="minorHAnsi"/>
          <w:sz w:val="20"/>
          <w:szCs w:val="20"/>
        </w:rPr>
        <w:t xml:space="preserve"> occurs within a nominal time domain window determined as described in [6, TS 38.214], then </w:t>
      </w:r>
      <m:oMath>
        <m:sSub>
          <m:sSubPr>
            <m:ctrlPr>
              <w:rPr>
                <w:rFonts w:ascii="Cambria Math" w:eastAsia="MS PGothic" w:hAnsi="Cambria Math" w:cstheme="minorHAnsi"/>
                <w:i/>
                <w:iCs/>
                <w:sz w:val="20"/>
                <w:szCs w:val="20"/>
              </w:rPr>
            </m:ctrlPr>
          </m:sSubPr>
          <m:e>
            <m:r>
              <w:rPr>
                <w:rFonts w:ascii="Cambria Math" w:hAnsi="Cambria Math" w:cstheme="minorHAnsi"/>
                <w:sz w:val="20"/>
                <w:szCs w:val="20"/>
              </w:rPr>
              <m:t>f</m:t>
            </m:r>
          </m:e>
          <m:sub>
            <m:r>
              <w:rPr>
                <w:rFonts w:ascii="Cambria Math" w:hAnsi="Cambria Math" w:cstheme="minorHAnsi"/>
                <w:sz w:val="20"/>
                <w:szCs w:val="20"/>
              </w:rPr>
              <m:t>b,f,c</m:t>
            </m:r>
          </m:sub>
        </m:sSub>
        <m:d>
          <m:dPr>
            <m:ctrlPr>
              <w:rPr>
                <w:rFonts w:ascii="Cambria Math" w:eastAsia="MS PGothic" w:hAnsi="Cambria Math" w:cstheme="minorHAnsi"/>
                <w:i/>
                <w:iCs/>
                <w:sz w:val="20"/>
                <w:szCs w:val="20"/>
              </w:rPr>
            </m:ctrlPr>
          </m:dPr>
          <m:e>
            <m:r>
              <w:rPr>
                <w:rFonts w:ascii="Cambria Math" w:hAnsi="Cambria Math" w:cstheme="minorHAnsi"/>
                <w:sz w:val="20"/>
                <w:szCs w:val="20"/>
              </w:rPr>
              <m:t>i,l</m:t>
            </m:r>
          </m:e>
        </m:d>
        <m:r>
          <w:rPr>
            <w:rFonts w:ascii="Cambria Math" w:hAnsi="Cambria Math" w:cstheme="minorHAnsi"/>
            <w:sz w:val="20"/>
            <w:szCs w:val="20"/>
          </w:rPr>
          <m:t>=</m:t>
        </m:r>
        <m:sSub>
          <m:sSubPr>
            <m:ctrlPr>
              <w:rPr>
                <w:rFonts w:ascii="Cambria Math" w:eastAsia="MS PGothic" w:hAnsi="Cambria Math" w:cstheme="minorHAnsi"/>
                <w:i/>
                <w:iCs/>
                <w:sz w:val="20"/>
                <w:szCs w:val="20"/>
              </w:rPr>
            </m:ctrlPr>
          </m:sSubPr>
          <m:e>
            <m:r>
              <w:rPr>
                <w:rFonts w:ascii="Cambria Math" w:hAnsi="Cambria Math" w:cstheme="minorHAnsi"/>
                <w:sz w:val="20"/>
                <w:szCs w:val="20"/>
              </w:rPr>
              <m:t>f</m:t>
            </m:r>
          </m:e>
          <m:sub>
            <m:r>
              <w:rPr>
                <w:rFonts w:ascii="Cambria Math" w:hAnsi="Cambria Math" w:cstheme="minorHAnsi"/>
                <w:sz w:val="20"/>
                <w:szCs w:val="20"/>
              </w:rPr>
              <m:t>b,f,c</m:t>
            </m:r>
          </m:sub>
        </m:sSub>
        <m:r>
          <w:rPr>
            <w:rFonts w:ascii="Cambria Math" w:hAnsi="Cambria Math" w:cstheme="minorHAnsi"/>
            <w:sz w:val="20"/>
            <w:szCs w:val="20"/>
          </w:rPr>
          <m:t>(</m:t>
        </m:r>
        <m:sSub>
          <m:sSubPr>
            <m:ctrlPr>
              <w:rPr>
                <w:rFonts w:ascii="Cambria Math" w:eastAsia="MS PGothic" w:hAnsi="Cambria Math" w:cstheme="minorHAnsi"/>
                <w:i/>
                <w:iCs/>
                <w:sz w:val="20"/>
                <w:szCs w:val="20"/>
              </w:rPr>
            </m:ctrlPr>
          </m:sSubPr>
          <m:e>
            <m:r>
              <w:rPr>
                <w:rFonts w:ascii="Cambria Math" w:hAnsi="Cambria Math" w:cstheme="minorHAnsi"/>
                <w:sz w:val="20"/>
                <w:szCs w:val="20"/>
              </w:rPr>
              <m:t>i</m:t>
            </m:r>
          </m:e>
          <m:sub>
            <m:r>
              <w:rPr>
                <w:rFonts w:ascii="Cambria Math" w:hAnsi="Cambria Math" w:cstheme="minorHAnsi"/>
                <w:sz w:val="20"/>
                <w:szCs w:val="20"/>
              </w:rPr>
              <m:t>1</m:t>
            </m:r>
          </m:sub>
        </m:sSub>
        <m:r>
          <w:rPr>
            <w:rFonts w:ascii="Cambria Math" w:hAnsi="Cambria Math" w:cstheme="minorHAnsi"/>
            <w:sz w:val="20"/>
            <w:szCs w:val="20"/>
          </w:rPr>
          <m:t>,l)</m:t>
        </m:r>
      </m:oMath>
      <w:r w:rsidRPr="00F71037">
        <w:rPr>
          <w:rFonts w:cstheme="minorHAnsi"/>
          <w:sz w:val="20"/>
          <w:szCs w:val="20"/>
        </w:rPr>
        <w:t xml:space="preserve">, where transmission occasion </w:t>
      </w:r>
      <m:oMath>
        <m:sSub>
          <m:sSubPr>
            <m:ctrlPr>
              <w:rPr>
                <w:rFonts w:ascii="Cambria Math" w:eastAsia="MS PGothic" w:hAnsi="Cambria Math" w:cstheme="minorHAnsi"/>
                <w:i/>
                <w:iCs/>
                <w:sz w:val="20"/>
                <w:szCs w:val="20"/>
              </w:rPr>
            </m:ctrlPr>
          </m:sSubPr>
          <m:e>
            <m:r>
              <w:rPr>
                <w:rFonts w:ascii="Cambria Math" w:hAnsi="Cambria Math" w:cstheme="minorHAnsi"/>
                <w:sz w:val="20"/>
                <w:szCs w:val="20"/>
              </w:rPr>
              <m:t>i</m:t>
            </m:r>
          </m:e>
          <m:sub>
            <m:r>
              <w:rPr>
                <w:rFonts w:ascii="Cambria Math" w:hAnsi="Cambria Math" w:cstheme="minorHAnsi"/>
                <w:sz w:val="20"/>
                <w:szCs w:val="20"/>
              </w:rPr>
              <m:t>1</m:t>
            </m:r>
          </m:sub>
        </m:sSub>
      </m:oMath>
      <w:r w:rsidRPr="00F71037">
        <w:rPr>
          <w:rFonts w:cstheme="minorHAnsi"/>
          <w:sz w:val="20"/>
          <w:szCs w:val="20"/>
        </w:rPr>
        <w:t xml:space="preserve"> is a first transmission occasion wit</w:t>
      </w:r>
      <w:proofErr w:type="spellStart"/>
      <w:r w:rsidRPr="00F71037">
        <w:rPr>
          <w:rFonts w:cstheme="minorHAnsi"/>
          <w:sz w:val="20"/>
          <w:szCs w:val="20"/>
        </w:rPr>
        <w:t>hin</w:t>
      </w:r>
      <w:proofErr w:type="spellEnd"/>
      <w:r w:rsidRPr="00F71037">
        <w:rPr>
          <w:rFonts w:cstheme="minorHAnsi"/>
          <w:sz w:val="20"/>
          <w:szCs w:val="20"/>
        </w:rPr>
        <w:t xml:space="preserve"> the nominal time domain window.  For a first transmission occasion </w:t>
      </w:r>
      <m:oMath>
        <m:sSub>
          <m:sSubPr>
            <m:ctrlPr>
              <w:rPr>
                <w:rFonts w:ascii="Cambria Math" w:hAnsi="Cambria Math" w:cstheme="minorHAnsi"/>
                <w:i/>
                <w:sz w:val="20"/>
                <w:szCs w:val="20"/>
              </w:rPr>
            </m:ctrlPr>
          </m:sSubPr>
          <m:e>
            <m:r>
              <w:rPr>
                <w:rFonts w:ascii="Cambria Math" w:hAnsi="Cambria Math" w:cstheme="minorHAnsi"/>
                <w:sz w:val="20"/>
                <w:szCs w:val="20"/>
              </w:rPr>
              <m:t>i</m:t>
            </m:r>
          </m:e>
          <m:sub>
            <m:r>
              <w:rPr>
                <w:rFonts w:ascii="Cambria Math" w:hAnsi="Cambria Math" w:cstheme="minorHAnsi"/>
                <w:sz w:val="20"/>
                <w:szCs w:val="20"/>
              </w:rPr>
              <m:t>2</m:t>
            </m:r>
          </m:sub>
        </m:sSub>
      </m:oMath>
      <w:r w:rsidRPr="00F71037">
        <w:rPr>
          <w:rFonts w:cstheme="minorHAnsi"/>
          <w:sz w:val="20"/>
          <w:szCs w:val="20"/>
        </w:rPr>
        <w:t xml:space="preserve"> after the transmission nominal time domain window, </w:t>
      </w:r>
      <m:oMath>
        <m:sSub>
          <m:sSubPr>
            <m:ctrlPr>
              <w:rPr>
                <w:rFonts w:ascii="Cambria Math" w:hAnsi="Cambria Math" w:cstheme="minorHAnsi"/>
                <w:i/>
                <w:sz w:val="20"/>
                <w:szCs w:val="20"/>
              </w:rPr>
            </m:ctrlPr>
          </m:sSubPr>
          <m:e>
            <m:r>
              <w:rPr>
                <w:rFonts w:ascii="Cambria Math" w:hAnsi="Cambria Math" w:cstheme="minorHAnsi"/>
                <w:sz w:val="20"/>
                <w:szCs w:val="20"/>
              </w:rPr>
              <m:t>f</m:t>
            </m:r>
          </m:e>
          <m:sub>
            <m:r>
              <w:rPr>
                <w:rFonts w:ascii="Cambria Math" w:hAnsi="Cambria Math" w:cstheme="minorHAnsi"/>
                <w:sz w:val="20"/>
                <w:szCs w:val="20"/>
              </w:rPr>
              <m:t>b,f,c</m:t>
            </m:r>
          </m:sub>
        </m:sSub>
        <m:d>
          <m:dPr>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i</m:t>
                </m:r>
              </m:e>
              <m:sub>
                <m:r>
                  <w:rPr>
                    <w:rFonts w:ascii="Cambria Math" w:hAnsi="Cambria Math" w:cstheme="minorHAnsi"/>
                    <w:sz w:val="20"/>
                    <w:szCs w:val="20"/>
                  </w:rPr>
                  <m:t>2</m:t>
                </m:r>
              </m:sub>
            </m:sSub>
            <m:r>
              <w:rPr>
                <w:rFonts w:ascii="Cambria Math" w:hAnsi="Cambria Math" w:cstheme="minorHAnsi"/>
                <w:sz w:val="20"/>
                <w:szCs w:val="20"/>
              </w:rPr>
              <m:t>,l</m:t>
            </m:r>
          </m:e>
        </m:d>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f</m:t>
            </m:r>
          </m:e>
          <m:sub>
            <m:r>
              <w:rPr>
                <w:rFonts w:ascii="Cambria Math" w:hAnsi="Cambria Math" w:cstheme="minorHAnsi"/>
                <w:sz w:val="20"/>
                <w:szCs w:val="20"/>
              </w:rPr>
              <m:t>b,f,c</m:t>
            </m:r>
          </m:sub>
        </m:sSub>
        <m:d>
          <m:dPr>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i</m:t>
                </m:r>
              </m:e>
              <m:sub>
                <m:r>
                  <w:rPr>
                    <w:rFonts w:ascii="Cambria Math" w:hAnsi="Cambria Math" w:cstheme="minorHAnsi"/>
                    <w:sz w:val="20"/>
                    <w:szCs w:val="20"/>
                  </w:rPr>
                  <m:t>1</m:t>
                </m:r>
              </m:sub>
            </m:sSub>
            <m:r>
              <w:rPr>
                <w:rFonts w:ascii="Cambria Math" w:hAnsi="Cambria Math" w:cstheme="minorHAnsi"/>
                <w:sz w:val="20"/>
                <w:szCs w:val="20"/>
              </w:rPr>
              <m:t>,l</m:t>
            </m:r>
          </m:e>
        </m:d>
        <m:r>
          <w:rPr>
            <w:rFonts w:ascii="Cambria Math" w:hAnsi="Cambria Math" w:cstheme="minorHAnsi"/>
            <w:sz w:val="20"/>
            <w:szCs w:val="20"/>
          </w:rPr>
          <m:t>+</m:t>
        </m:r>
        <m:nary>
          <m:naryPr>
            <m:chr m:val="∑"/>
            <m:limLoc m:val="undOvr"/>
            <m:ctrlPr>
              <w:rPr>
                <w:rFonts w:ascii="Cambria Math" w:hAnsi="Cambria Math" w:cstheme="minorHAnsi"/>
                <w:i/>
                <w:sz w:val="20"/>
                <w:szCs w:val="20"/>
              </w:rPr>
            </m:ctrlPr>
          </m:naryPr>
          <m:sub>
            <m:r>
              <w:rPr>
                <w:rFonts w:ascii="Cambria Math" w:hAnsi="Cambria Math" w:cstheme="minorHAnsi"/>
                <w:sz w:val="20"/>
                <w:szCs w:val="20"/>
              </w:rPr>
              <m:t>i=</m:t>
            </m:r>
            <m:sSub>
              <m:sSubPr>
                <m:ctrlPr>
                  <w:rPr>
                    <w:rFonts w:ascii="Cambria Math" w:hAnsi="Cambria Math" w:cstheme="minorHAnsi"/>
                    <w:i/>
                    <w:sz w:val="20"/>
                    <w:szCs w:val="20"/>
                  </w:rPr>
                </m:ctrlPr>
              </m:sSubPr>
              <m:e>
                <m:r>
                  <w:rPr>
                    <w:rFonts w:ascii="Cambria Math" w:hAnsi="Cambria Math" w:cstheme="minorHAnsi"/>
                    <w:sz w:val="20"/>
                    <w:szCs w:val="20"/>
                  </w:rPr>
                  <m:t>i</m:t>
                </m:r>
              </m:e>
              <m:sub>
                <m:r>
                  <w:rPr>
                    <w:rFonts w:ascii="Cambria Math" w:hAnsi="Cambria Math" w:cstheme="minorHAnsi"/>
                    <w:sz w:val="20"/>
                    <w:szCs w:val="20"/>
                  </w:rPr>
                  <m:t>1</m:t>
                </m:r>
              </m:sub>
            </m:sSub>
            <m:r>
              <w:rPr>
                <w:rFonts w:ascii="Cambria Math" w:hAnsi="Cambria Math" w:cstheme="minorHAnsi"/>
                <w:sz w:val="20"/>
                <w:szCs w:val="20"/>
              </w:rPr>
              <m:t>+1</m:t>
            </m:r>
          </m:sub>
          <m:sup>
            <m:sSub>
              <m:sSubPr>
                <m:ctrlPr>
                  <w:rPr>
                    <w:rFonts w:ascii="Cambria Math" w:hAnsi="Cambria Math" w:cstheme="minorHAnsi"/>
                    <w:i/>
                    <w:sz w:val="20"/>
                    <w:szCs w:val="20"/>
                  </w:rPr>
                </m:ctrlPr>
              </m:sSubPr>
              <m:e>
                <m:r>
                  <w:rPr>
                    <w:rFonts w:ascii="Cambria Math" w:hAnsi="Cambria Math" w:cstheme="minorHAnsi"/>
                    <w:sz w:val="20"/>
                    <w:szCs w:val="20"/>
                  </w:rPr>
                  <m:t>i</m:t>
                </m:r>
              </m:e>
              <m:sub>
                <m:r>
                  <w:rPr>
                    <w:rFonts w:ascii="Cambria Math" w:hAnsi="Cambria Math" w:cstheme="minorHAnsi"/>
                    <w:sz w:val="20"/>
                    <w:szCs w:val="20"/>
                  </w:rPr>
                  <m:t>2</m:t>
                </m:r>
              </m:sub>
            </m:sSub>
          </m:sup>
          <m:e>
            <m:nary>
              <m:naryPr>
                <m:chr m:val="∑"/>
                <m:limLoc m:val="undOvr"/>
                <m:ctrlPr>
                  <w:rPr>
                    <w:rFonts w:ascii="Cambria Math" w:eastAsia="SimSun" w:hAnsi="Cambria Math" w:cstheme="minorHAnsi"/>
                    <w:i/>
                    <w:sz w:val="20"/>
                    <w:szCs w:val="20"/>
                  </w:rPr>
                </m:ctrlPr>
              </m:naryPr>
              <m:sub>
                <m:r>
                  <w:rPr>
                    <w:rFonts w:ascii="Cambria Math" w:hAnsi="Cambria Math" w:cstheme="minorHAnsi"/>
                    <w:sz w:val="20"/>
                    <w:szCs w:val="20"/>
                  </w:rPr>
                  <m:t>m=0</m:t>
                </m:r>
              </m:sub>
              <m:sup>
                <m:r>
                  <w:rPr>
                    <w:rFonts w:ascii="Cambria Math" w:hAnsi="Cambria Math" w:cstheme="minorHAnsi"/>
                    <w:sz w:val="20"/>
                    <w:szCs w:val="20"/>
                  </w:rPr>
                  <m:t>C</m:t>
                </m:r>
                <m:d>
                  <m:dPr>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i</m:t>
                        </m:r>
                      </m:sub>
                    </m:sSub>
                  </m:e>
                </m:d>
                <m:r>
                  <w:rPr>
                    <w:rFonts w:ascii="Cambria Math" w:hAnsi="Cambria Math" w:cstheme="minorHAnsi"/>
                    <w:sz w:val="20"/>
                    <w:szCs w:val="20"/>
                  </w:rPr>
                  <m:t>-1</m:t>
                </m:r>
              </m:sup>
              <m:e>
                <m:sSub>
                  <m:sSubPr>
                    <m:ctrlPr>
                      <w:rPr>
                        <w:rFonts w:ascii="Cambria Math" w:hAnsi="Cambria Math" w:cstheme="minorHAnsi"/>
                        <w:i/>
                        <w:sz w:val="20"/>
                        <w:szCs w:val="20"/>
                      </w:rPr>
                    </m:ctrlPr>
                  </m:sSubPr>
                  <m:e>
                    <m:r>
                      <w:rPr>
                        <w:rFonts w:ascii="Cambria Math" w:hAnsi="Cambria Math" w:cstheme="minorHAnsi"/>
                        <w:sz w:val="20"/>
                        <w:szCs w:val="20"/>
                      </w:rPr>
                      <m:t>δ</m:t>
                    </m:r>
                  </m:e>
                  <m:sub>
                    <m:r>
                      <w:rPr>
                        <w:rFonts w:ascii="Cambria Math" w:hAnsi="Cambria Math" w:cstheme="minorHAnsi"/>
                        <w:sz w:val="20"/>
                        <w:szCs w:val="20"/>
                      </w:rPr>
                      <m:t>PUSCH,b,f,c</m:t>
                    </m:r>
                  </m:sub>
                </m:sSub>
                <m:r>
                  <w:rPr>
                    <w:rFonts w:ascii="Cambria Math" w:hAnsi="Cambria Math" w:cstheme="minorHAnsi"/>
                    <w:sz w:val="20"/>
                    <w:szCs w:val="20"/>
                  </w:rPr>
                  <m:t>(m,l)</m:t>
                </m:r>
              </m:e>
            </m:nary>
          </m:e>
        </m:nary>
      </m:oMath>
      <w:r w:rsidRPr="00F71037">
        <w:rPr>
          <w:rFonts w:cstheme="minorHAnsi"/>
          <w:sz w:val="20"/>
          <w:szCs w:val="20"/>
        </w:rPr>
        <w:t xml:space="preserve">, with </w:t>
      </w:r>
      <m:oMath>
        <m:r>
          <w:rPr>
            <w:rFonts w:ascii="Cambria Math" w:hAnsi="Cambria Math" w:cstheme="minorHAnsi"/>
            <w:sz w:val="20"/>
            <w:szCs w:val="20"/>
          </w:rPr>
          <m:t>C</m:t>
        </m:r>
        <m:d>
          <m:dPr>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i</m:t>
                </m:r>
              </m:sub>
            </m:sSub>
          </m:e>
        </m:d>
      </m:oMath>
      <w:r w:rsidRPr="00F71037">
        <w:rPr>
          <w:rFonts w:cstheme="minorHAnsi"/>
          <w:sz w:val="20"/>
          <w:szCs w:val="20"/>
        </w:rPr>
        <w:t xml:space="preserve"> as defined above.</w:t>
      </w:r>
    </w:p>
    <w:p w14:paraId="3121DE61" w14:textId="5A02E33D" w:rsidR="00874425" w:rsidRPr="00C2548F" w:rsidRDefault="00874425" w:rsidP="00B51F17">
      <w:pPr>
        <w:pStyle w:val="ListParagraph"/>
        <w:numPr>
          <w:ilvl w:val="0"/>
          <w:numId w:val="81"/>
        </w:numPr>
        <w:spacing w:after="0" w:line="280" w:lineRule="atLeast"/>
        <w:contextualSpacing w:val="0"/>
        <w:rPr>
          <w:rFonts w:asciiTheme="minorHAnsi" w:hAnsiTheme="minorHAnsi" w:cstheme="minorHAnsi"/>
          <w:szCs w:val="22"/>
          <w:lang w:eastAsia="zh-CN"/>
        </w:rPr>
      </w:pPr>
      <w:r w:rsidRPr="00C2548F">
        <w:rPr>
          <w:rFonts w:asciiTheme="minorHAnsi" w:hAnsiTheme="minorHAnsi" w:cstheme="minorHAnsi"/>
          <w:lang w:val="en-GB"/>
        </w:rPr>
        <w:t>The portion of the working assumption to support DCI format 2_2 and DMRS bundling with absolute TPCs is not confirmed</w:t>
      </w:r>
      <w:r w:rsidR="004305E9" w:rsidRPr="00C2548F">
        <w:rPr>
          <w:rFonts w:asciiTheme="minorHAnsi" w:hAnsiTheme="minorHAnsi" w:cstheme="minorHAnsi"/>
          <w:lang w:val="en-GB"/>
        </w:rPr>
        <w:t>.</w:t>
      </w:r>
    </w:p>
    <w:p w14:paraId="03A4DDFA" w14:textId="15BC0DE9" w:rsidR="00A93509" w:rsidRPr="00EC5693" w:rsidRDefault="00A93509" w:rsidP="00F06536">
      <w:pPr>
        <w:pStyle w:val="BodyText"/>
        <w:rPr>
          <w:b/>
        </w:rPr>
      </w:pPr>
    </w:p>
    <w:p w14:paraId="74761E64" w14:textId="1C3AED1C" w:rsidR="008A66A9" w:rsidRDefault="00F507D1" w:rsidP="004D5B6C">
      <w:pPr>
        <w:pStyle w:val="Heading1"/>
        <w:spacing w:before="360"/>
      </w:pPr>
      <w:r w:rsidRPr="00CE0424">
        <w:t>References</w:t>
      </w:r>
    </w:p>
    <w:p w14:paraId="0911C89F" w14:textId="0474098C" w:rsidR="00157952" w:rsidRPr="00315B4C" w:rsidRDefault="007A68E0" w:rsidP="00157952">
      <w:pPr>
        <w:pStyle w:val="Reference"/>
        <w:spacing w:after="120"/>
      </w:pPr>
      <w:bookmarkStart w:id="21" w:name="_Ref53666297"/>
      <w:bookmarkStart w:id="22" w:name="_Ref40444141"/>
      <w:bookmarkStart w:id="23" w:name="_Ref513450389"/>
      <w:r w:rsidRPr="00315B4C">
        <w:t>RP-210855</w:t>
      </w:r>
      <w:r w:rsidR="00406632" w:rsidRPr="00315B4C">
        <w:rPr>
          <w:rFonts w:eastAsia="Times New Roman"/>
        </w:rPr>
        <w:t>, “Revised WID on NR coverage enhancements”, China Telecom,</w:t>
      </w:r>
      <w:r w:rsidR="00406632" w:rsidRPr="00315B4C">
        <w:t xml:space="preserve"> </w:t>
      </w:r>
      <w:r w:rsidR="00406632" w:rsidRPr="00315B4C">
        <w:rPr>
          <w:rFonts w:eastAsia="Times New Roman"/>
        </w:rPr>
        <w:t>3GPP TSG RAN meeting #91e, March 16</w:t>
      </w:r>
      <w:r w:rsidR="00406632" w:rsidRPr="00F71037">
        <w:rPr>
          <w:rFonts w:eastAsia="Times New Roman"/>
        </w:rPr>
        <w:t>th</w:t>
      </w:r>
      <w:r w:rsidR="00406632" w:rsidRPr="00315B4C">
        <w:rPr>
          <w:rFonts w:eastAsia="Times New Roman"/>
        </w:rPr>
        <w:t xml:space="preserve"> </w:t>
      </w:r>
      <w:r w:rsidR="00E90003" w:rsidRPr="00315B4C">
        <w:rPr>
          <w:rFonts w:eastAsia="Times New Roman"/>
        </w:rPr>
        <w:t xml:space="preserve">- </w:t>
      </w:r>
      <w:r w:rsidR="00406632" w:rsidRPr="00315B4C">
        <w:rPr>
          <w:rFonts w:eastAsia="Times New Roman"/>
        </w:rPr>
        <w:t>26</w:t>
      </w:r>
      <w:r w:rsidR="00406632" w:rsidRPr="00F71037">
        <w:rPr>
          <w:rFonts w:eastAsia="Times New Roman"/>
        </w:rPr>
        <w:t>th</w:t>
      </w:r>
      <w:r w:rsidR="00406632" w:rsidRPr="00315B4C">
        <w:rPr>
          <w:rFonts w:eastAsia="Times New Roman"/>
        </w:rPr>
        <w:t>, 2021</w:t>
      </w:r>
      <w:r w:rsidR="00157952" w:rsidRPr="00315B4C">
        <w:t>.</w:t>
      </w:r>
      <w:bookmarkEnd w:id="21"/>
    </w:p>
    <w:p w14:paraId="5EFBF920" w14:textId="75A635D6" w:rsidR="00204B3F" w:rsidRPr="00315B4C" w:rsidRDefault="00204B3F" w:rsidP="00204B3F">
      <w:pPr>
        <w:pStyle w:val="Reference"/>
      </w:pPr>
      <w:bookmarkStart w:id="24" w:name="_Ref84007696"/>
      <w:r w:rsidRPr="00315B4C">
        <w:t>R1-</w:t>
      </w:r>
      <w:r w:rsidR="00315B4C" w:rsidRPr="00315B4C">
        <w:t>2201966</w:t>
      </w:r>
      <w:r w:rsidRPr="00315B4C">
        <w:t>, “Frequency Hopping for TBoMS”, Ericsson, 3GPP TSG RAN1 #</w:t>
      </w:r>
      <w:r w:rsidR="00315B4C" w:rsidRPr="00315B4C">
        <w:t>108-e, February 21st – March 3rd,</w:t>
      </w:r>
      <w:r w:rsidRPr="00315B4C">
        <w:t xml:space="preserve"> 2022.</w:t>
      </w:r>
      <w:bookmarkEnd w:id="24"/>
    </w:p>
    <w:p w14:paraId="6FB6128C" w14:textId="05EDD712" w:rsidR="00204B3F" w:rsidRPr="00315B4C" w:rsidRDefault="00204B3F" w:rsidP="00B51F17">
      <w:pPr>
        <w:pStyle w:val="Reference"/>
      </w:pPr>
      <w:bookmarkStart w:id="25" w:name="_Ref86949812"/>
      <w:r w:rsidRPr="00315B4C">
        <w:t>R1-</w:t>
      </w:r>
      <w:r w:rsidR="00315B4C" w:rsidRPr="00315B4C">
        <w:t>2201964</w:t>
      </w:r>
      <w:r w:rsidRPr="00315B4C">
        <w:t>, “Remaining Issues for PUCCH Dynamic Repetition and DMRS Bundling”, Ericsson, 3GPP TSG RAN1 #</w:t>
      </w:r>
      <w:r w:rsidR="00315B4C" w:rsidRPr="00315B4C">
        <w:t>108-e, February 21st – March 3rd,</w:t>
      </w:r>
      <w:r w:rsidRPr="00315B4C">
        <w:t xml:space="preserve"> 2022.</w:t>
      </w:r>
      <w:bookmarkEnd w:id="25"/>
    </w:p>
    <w:p w14:paraId="30F2A7C3" w14:textId="7AE6DCAC" w:rsidR="00E04FF5" w:rsidRDefault="00E04FF5" w:rsidP="00B51F17">
      <w:pPr>
        <w:pStyle w:val="Reference"/>
      </w:pPr>
      <w:bookmarkStart w:id="26" w:name="_Ref95123779"/>
      <w:r w:rsidRPr="00E04FF5">
        <w:t>R1-2100284, “</w:t>
      </w:r>
      <w:r w:rsidR="00221A99" w:rsidRPr="00221A99">
        <w:t>Draft CR on closed-loop power control with an absolute TPC command</w:t>
      </w:r>
      <w:r w:rsidRPr="00E04FF5">
        <w:t xml:space="preserve">”, </w:t>
      </w:r>
      <w:r w:rsidR="00221A99">
        <w:t>ZTE</w:t>
      </w:r>
      <w:r w:rsidRPr="00E04FF5">
        <w:t>, 3GPP TSG RAN1 #10</w:t>
      </w:r>
      <w:r w:rsidR="00221A99">
        <w:t>4</w:t>
      </w:r>
      <w:r w:rsidRPr="00E04FF5">
        <w:t>-e</w:t>
      </w:r>
      <w:r w:rsidR="00221A99">
        <w:t xml:space="preserve">, </w:t>
      </w:r>
      <w:r w:rsidR="00221A99" w:rsidRPr="00221A99">
        <w:t>January 25th – February 5th, 2021</w:t>
      </w:r>
      <w:r w:rsidRPr="00E04FF5">
        <w:t>.</w:t>
      </w:r>
      <w:bookmarkEnd w:id="26"/>
    </w:p>
    <w:p w14:paraId="4003FA62" w14:textId="4790FE2B" w:rsidR="00DF2CD0" w:rsidRDefault="009D05CB" w:rsidP="00F56E2D">
      <w:pPr>
        <w:pStyle w:val="Heading1"/>
        <w:spacing w:before="360"/>
      </w:pPr>
      <w:bookmarkStart w:id="27" w:name="_Ref47688562"/>
      <w:bookmarkStart w:id="28" w:name="_Ref47620963"/>
      <w:bookmarkEnd w:id="22"/>
      <w:bookmarkEnd w:id="23"/>
      <w:r>
        <w:lastRenderedPageBreak/>
        <w:t>Appendix</w:t>
      </w:r>
      <w:r w:rsidR="00A60589">
        <w:t xml:space="preserve"> </w:t>
      </w:r>
      <w:bookmarkEnd w:id="27"/>
      <w:bookmarkEnd w:id="28"/>
      <w:r w:rsidR="00AD0934">
        <w:t>A</w:t>
      </w:r>
    </w:p>
    <w:p w14:paraId="2E27B946" w14:textId="35AA1BBE" w:rsidR="00DF2CD0" w:rsidRPr="00F56E2D" w:rsidRDefault="00DF2CD0" w:rsidP="00F71037">
      <w:pPr>
        <w:pStyle w:val="BodyText"/>
        <w:keepNext/>
        <w:spacing w:after="0"/>
        <w:jc w:val="center"/>
        <w:rPr>
          <w:rFonts w:cstheme="minorHAnsi"/>
          <w:b/>
          <w:bCs/>
        </w:rPr>
      </w:pPr>
      <w:r w:rsidRPr="00F56E2D">
        <w:rPr>
          <w:rFonts w:cstheme="minorHAnsi"/>
          <w:b/>
          <w:bCs/>
        </w:rPr>
        <w:t>Table A</w:t>
      </w:r>
      <w:r w:rsidR="00790E39">
        <w:rPr>
          <w:rFonts w:cstheme="minorHAnsi"/>
          <w:b/>
          <w:bCs/>
        </w:rPr>
        <w:t>1</w:t>
      </w:r>
      <w:r w:rsidRPr="00F56E2D">
        <w:rPr>
          <w:rFonts w:cstheme="minorHAnsi"/>
          <w:b/>
          <w:bCs/>
        </w:rPr>
        <w:t>: Basic setup of LLS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131DF1BF" w14:textId="77777777" w:rsidTr="009532E7">
        <w:trPr>
          <w:jc w:val="center"/>
        </w:trPr>
        <w:tc>
          <w:tcPr>
            <w:tcW w:w="1975" w:type="dxa"/>
            <w:shd w:val="clear" w:color="auto" w:fill="auto"/>
            <w:hideMark/>
          </w:tcPr>
          <w:p w14:paraId="44FB6DC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7CAF195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 MHz</w:t>
            </w:r>
          </w:p>
          <w:p w14:paraId="646D468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4F385E92"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4090EE97"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02B061FF" w14:textId="77777777" w:rsidTr="009532E7">
        <w:trPr>
          <w:jc w:val="center"/>
        </w:trPr>
        <w:tc>
          <w:tcPr>
            <w:tcW w:w="1975" w:type="dxa"/>
            <w:shd w:val="clear" w:color="auto" w:fill="auto"/>
          </w:tcPr>
          <w:p w14:paraId="7ECFEC86"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09B1BD1B" w14:textId="59F7235C"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w:t>
            </w:r>
          </w:p>
        </w:tc>
      </w:tr>
      <w:tr w:rsidR="00DF2CD0" w:rsidRPr="00C9626E" w14:paraId="2F6AB709" w14:textId="77777777" w:rsidTr="009532E7">
        <w:trPr>
          <w:jc w:val="center"/>
        </w:trPr>
        <w:tc>
          <w:tcPr>
            <w:tcW w:w="1975" w:type="dxa"/>
            <w:shd w:val="clear" w:color="auto" w:fill="auto"/>
          </w:tcPr>
          <w:p w14:paraId="43AC150E" w14:textId="77777777" w:rsidR="00DF2CD0" w:rsidRDefault="00DF2CD0" w:rsidP="009532E7">
            <w:pPr>
              <w:spacing w:after="0" w:line="240" w:lineRule="auto"/>
              <w:textAlignment w:val="baseline"/>
              <w:rPr>
                <w:rFonts w:cstheme="minorHAnsi"/>
              </w:rPr>
            </w:pPr>
            <w:r>
              <w:rPr>
                <w:rFonts w:cstheme="minorHAnsi"/>
              </w:rPr>
              <w:t xml:space="preserve">Payload / </w:t>
            </w:r>
            <w:proofErr w:type="spellStart"/>
            <w:r>
              <w:rPr>
                <w:rFonts w:cstheme="minorHAnsi"/>
              </w:rPr>
              <w:t>tx</w:t>
            </w:r>
            <w:proofErr w:type="spellEnd"/>
            <w:r>
              <w:rPr>
                <w:rFonts w:cstheme="minorHAnsi"/>
              </w:rPr>
              <w:t xml:space="preserve"> scheme</w:t>
            </w:r>
          </w:p>
        </w:tc>
        <w:tc>
          <w:tcPr>
            <w:tcW w:w="7365" w:type="dxa"/>
            <w:shd w:val="clear" w:color="auto" w:fill="auto"/>
          </w:tcPr>
          <w:p w14:paraId="3BB09461"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0391300" w14:textId="686A925F" w:rsidR="00DF2CD0" w:rsidRDefault="00DF2CD0" w:rsidP="009532E7">
            <w:pPr>
              <w:numPr>
                <w:ilvl w:val="0"/>
                <w:numId w:val="49"/>
              </w:numPr>
              <w:spacing w:after="0" w:line="240" w:lineRule="auto"/>
              <w:contextualSpacing/>
              <w:textAlignment w:val="baseline"/>
              <w:rPr>
                <w:rFonts w:cstheme="minorHAnsi"/>
              </w:rPr>
            </w:pPr>
            <w:r>
              <w:rPr>
                <w:rFonts w:cstheme="minorHAnsi"/>
              </w:rPr>
              <w:t>2 DMRS symbols per slot</w:t>
            </w:r>
          </w:p>
          <w:p w14:paraId="289A9E99" w14:textId="68192830" w:rsidR="00DF2CD0" w:rsidRDefault="006545A4" w:rsidP="009532E7">
            <w:pPr>
              <w:numPr>
                <w:ilvl w:val="0"/>
                <w:numId w:val="49"/>
              </w:numPr>
              <w:spacing w:after="0" w:line="240" w:lineRule="auto"/>
              <w:contextualSpacing/>
              <w:textAlignment w:val="baseline"/>
              <w:rPr>
                <w:rFonts w:cstheme="minorHAnsi"/>
              </w:rPr>
            </w:pPr>
            <w:r>
              <w:rPr>
                <w:rFonts w:cstheme="minorHAnsi"/>
              </w:rPr>
              <w:t xml:space="preserve">2, 4, or </w:t>
            </w:r>
            <w:r w:rsidR="00DF2CD0">
              <w:rPr>
                <w:rFonts w:cstheme="minorHAnsi"/>
              </w:rPr>
              <w:t>8 repetitions (in back-to-back slots), no re-transmissions</w:t>
            </w:r>
          </w:p>
          <w:p w14:paraId="4EC324E1" w14:textId="2BC682D0" w:rsidR="00DF2CD0" w:rsidRDefault="00F843F8" w:rsidP="009532E7">
            <w:pPr>
              <w:numPr>
                <w:ilvl w:val="0"/>
                <w:numId w:val="49"/>
              </w:numPr>
              <w:spacing w:after="0" w:line="240" w:lineRule="auto"/>
              <w:contextualSpacing/>
              <w:textAlignment w:val="baseline"/>
              <w:rPr>
                <w:rFonts w:cstheme="minorHAnsi"/>
              </w:rPr>
            </w:pPr>
            <w:r>
              <w:rPr>
                <w:rFonts w:cstheme="minorHAnsi"/>
              </w:rPr>
              <w:t>Frequency hopping on or off</w:t>
            </w:r>
          </w:p>
        </w:tc>
      </w:tr>
      <w:tr w:rsidR="00DF2CD0" w:rsidRPr="00C9626E" w14:paraId="7E0F16BB" w14:textId="77777777" w:rsidTr="009532E7">
        <w:trPr>
          <w:jc w:val="center"/>
        </w:trPr>
        <w:tc>
          <w:tcPr>
            <w:tcW w:w="1975" w:type="dxa"/>
            <w:shd w:val="clear" w:color="auto" w:fill="auto"/>
            <w:hideMark/>
          </w:tcPr>
          <w:p w14:paraId="2BFCB24E" w14:textId="77777777" w:rsidR="00DF2CD0" w:rsidRPr="00C9626E" w:rsidRDefault="00DF2CD0" w:rsidP="009532E7">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1851329B"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 ns or 300 ns delay spread, medium correlation</w:t>
            </w:r>
          </w:p>
        </w:tc>
      </w:tr>
      <w:tr w:rsidR="00DF2CD0" w:rsidRPr="00C9626E" w14:paraId="64D2ED78" w14:textId="77777777" w:rsidTr="009532E7">
        <w:trPr>
          <w:jc w:val="center"/>
        </w:trPr>
        <w:tc>
          <w:tcPr>
            <w:tcW w:w="1975" w:type="dxa"/>
            <w:shd w:val="clear" w:color="auto" w:fill="auto"/>
            <w:hideMark/>
          </w:tcPr>
          <w:p w14:paraId="23E80D81"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185AD43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0.10 ppm CFO (70 Hz)</w:t>
            </w:r>
          </w:p>
          <w:p w14:paraId="6F8C57AF" w14:textId="77777777" w:rsidR="00DF2CD0" w:rsidRPr="00F06536" w:rsidRDefault="00DF2CD0" w:rsidP="009532E7">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p w14:paraId="760CD1A0" w14:textId="3F86BF47" w:rsidR="00DF2CD0" w:rsidRPr="00F77F9F" w:rsidRDefault="00DF2CD0" w:rsidP="009532E7">
            <w:pPr>
              <w:numPr>
                <w:ilvl w:val="0"/>
                <w:numId w:val="49"/>
              </w:numPr>
              <w:spacing w:after="0" w:line="240" w:lineRule="auto"/>
              <w:contextualSpacing/>
              <w:textAlignment w:val="baseline"/>
              <w:rPr>
                <w:rFonts w:cstheme="minorHAnsi"/>
                <w:b/>
                <w:bCs/>
              </w:rPr>
            </w:pPr>
            <w:r>
              <w:rPr>
                <w:rFonts w:cstheme="minorHAnsi"/>
              </w:rPr>
              <w:t>No time offset errors between slot</w:t>
            </w:r>
            <w:r w:rsidR="006545A4">
              <w:rPr>
                <w:rFonts w:cstheme="minorHAnsi"/>
              </w:rPr>
              <w:t>s</w:t>
            </w:r>
          </w:p>
        </w:tc>
      </w:tr>
      <w:tr w:rsidR="00DF2CD0" w:rsidRPr="00C9626E" w14:paraId="29F97AC3" w14:textId="77777777" w:rsidTr="009532E7">
        <w:trPr>
          <w:jc w:val="center"/>
        </w:trPr>
        <w:tc>
          <w:tcPr>
            <w:tcW w:w="1975" w:type="dxa"/>
            <w:shd w:val="clear" w:color="auto" w:fill="auto"/>
            <w:hideMark/>
          </w:tcPr>
          <w:p w14:paraId="0AED08A9"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4271FCBB"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DF2CD0" w:rsidRPr="00C9626E" w14:paraId="340FAF06" w14:textId="77777777" w:rsidTr="009532E7">
        <w:trPr>
          <w:jc w:val="center"/>
        </w:trPr>
        <w:tc>
          <w:tcPr>
            <w:tcW w:w="1975" w:type="dxa"/>
            <w:shd w:val="clear" w:color="auto" w:fill="auto"/>
          </w:tcPr>
          <w:p w14:paraId="62E742BC"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5CF81377"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tc>
      </w:tr>
    </w:tbl>
    <w:p w14:paraId="369AC3D2" w14:textId="77777777" w:rsidR="00DF2CD0" w:rsidRDefault="00DF2CD0" w:rsidP="00F56E2D">
      <w:pPr>
        <w:pStyle w:val="BodyText"/>
        <w:spacing w:after="0"/>
        <w:rPr>
          <w:rFonts w:cstheme="minorHAnsi"/>
        </w:rPr>
      </w:pPr>
    </w:p>
    <w:p w14:paraId="6F26CB6C" w14:textId="77777777" w:rsidR="00407CD8" w:rsidRPr="004D51DF" w:rsidRDefault="00407CD8" w:rsidP="00B51F17">
      <w:pPr>
        <w:pStyle w:val="Reference"/>
        <w:numPr>
          <w:ilvl w:val="0"/>
          <w:numId w:val="0"/>
        </w:numPr>
        <w:spacing w:after="0"/>
        <w:jc w:val="center"/>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6C8F" w14:textId="77777777" w:rsidR="00EB7182" w:rsidRDefault="00EB7182">
      <w:r>
        <w:separator/>
      </w:r>
    </w:p>
  </w:endnote>
  <w:endnote w:type="continuationSeparator" w:id="0">
    <w:p w14:paraId="6ACC4DAA" w14:textId="77777777" w:rsidR="00EB7182" w:rsidRDefault="00EB7182">
      <w:r>
        <w:continuationSeparator/>
      </w:r>
    </w:p>
  </w:endnote>
  <w:endnote w:type="continuationNotice" w:id="1">
    <w:p w14:paraId="4E778F27"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Ĕ"/>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6382F" w14:textId="77777777" w:rsidR="00EB7182" w:rsidRDefault="00EB7182">
      <w:r>
        <w:separator/>
      </w:r>
    </w:p>
  </w:footnote>
  <w:footnote w:type="continuationSeparator" w:id="0">
    <w:p w14:paraId="754799FC" w14:textId="77777777" w:rsidR="00EB7182" w:rsidRDefault="00EB7182">
      <w:r>
        <w:continuationSeparator/>
      </w:r>
    </w:p>
  </w:footnote>
  <w:footnote w:type="continuationNotice" w:id="1">
    <w:p w14:paraId="1C935CB1"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C55B0F"/>
    <w:multiLevelType w:val="hybridMultilevel"/>
    <w:tmpl w:val="E56A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9B078D"/>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0C07EC"/>
    <w:multiLevelType w:val="multilevel"/>
    <w:tmpl w:val="0B0C07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EC43AB"/>
    <w:multiLevelType w:val="hybridMultilevel"/>
    <w:tmpl w:val="52F25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0F2A7235"/>
    <w:multiLevelType w:val="hybridMultilevel"/>
    <w:tmpl w:val="5262C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4F4D2A"/>
    <w:multiLevelType w:val="hybridMultilevel"/>
    <w:tmpl w:val="0302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2C5C30"/>
    <w:multiLevelType w:val="multilevel"/>
    <w:tmpl w:val="C07CE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71F47DE"/>
    <w:multiLevelType w:val="hybridMultilevel"/>
    <w:tmpl w:val="B1103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90D4EA0"/>
    <w:multiLevelType w:val="hybridMultilevel"/>
    <w:tmpl w:val="4812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B3808"/>
    <w:multiLevelType w:val="hybridMultilevel"/>
    <w:tmpl w:val="93AE17DA"/>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776084"/>
    <w:multiLevelType w:val="hybridMultilevel"/>
    <w:tmpl w:val="028C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28B677F8"/>
    <w:multiLevelType w:val="hybridMultilevel"/>
    <w:tmpl w:val="8D6A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206D21"/>
    <w:multiLevelType w:val="multilevel"/>
    <w:tmpl w:val="D6CAB1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4" w15:restartNumberingAfterBreak="0">
    <w:nsid w:val="2F1454A5"/>
    <w:multiLevelType w:val="hybridMultilevel"/>
    <w:tmpl w:val="0CE29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2291D79"/>
    <w:multiLevelType w:val="hybridMultilevel"/>
    <w:tmpl w:val="3D183D64"/>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5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3F6F5469"/>
    <w:multiLevelType w:val="multilevel"/>
    <w:tmpl w:val="26DC33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417B4C1A"/>
    <w:multiLevelType w:val="hybridMultilevel"/>
    <w:tmpl w:val="9F4A7E7C"/>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1ED64FF"/>
    <w:multiLevelType w:val="hybridMultilevel"/>
    <w:tmpl w:val="8924BF54"/>
    <w:lvl w:ilvl="0" w:tplc="3ADECD88">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7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470B428F"/>
    <w:multiLevelType w:val="multilevel"/>
    <w:tmpl w:val="5D980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486F0698"/>
    <w:multiLevelType w:val="multilevel"/>
    <w:tmpl w:val="5AB42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4C466E35"/>
    <w:multiLevelType w:val="hybridMultilevel"/>
    <w:tmpl w:val="EFB45172"/>
    <w:lvl w:ilvl="0" w:tplc="041D000F">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1C615B"/>
    <w:multiLevelType w:val="hybridMultilevel"/>
    <w:tmpl w:val="319A2AAE"/>
    <w:lvl w:ilvl="0" w:tplc="04090001">
      <w:start w:val="1"/>
      <w:numFmt w:val="bullet"/>
      <w:lvlText w:val=""/>
      <w:lvlJc w:val="left"/>
      <w:pPr>
        <w:ind w:left="720" w:hanging="360"/>
      </w:pPr>
      <w:rPr>
        <w:rFonts w:ascii="Symbol" w:hAnsi="Symbol" w:hint="default"/>
      </w:rPr>
    </w:lvl>
    <w:lvl w:ilvl="1" w:tplc="C7463E7C">
      <w:start w:val="4"/>
      <w:numFmt w:val="bullet"/>
      <w:lvlText w:val="-"/>
      <w:lvlJc w:val="left"/>
      <w:pPr>
        <w:ind w:left="1440" w:hanging="360"/>
      </w:pPr>
      <w:rPr>
        <w:rFonts w:ascii="Ericsson Hilda" w:eastAsia="Times New Roman" w:hAnsi="Ericsson Hilda"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5"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65A726F"/>
    <w:multiLevelType w:val="hybridMultilevel"/>
    <w:tmpl w:val="D2E419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91" w15:restartNumberingAfterBreak="0">
    <w:nsid w:val="5F307CE1"/>
    <w:multiLevelType w:val="hybridMultilevel"/>
    <w:tmpl w:val="32CA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7F502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95"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24236DD"/>
    <w:multiLevelType w:val="hybridMultilevel"/>
    <w:tmpl w:val="886C3728"/>
    <w:lvl w:ilvl="0" w:tplc="C0785F26">
      <w:start w:val="2022"/>
      <w:numFmt w:val="bullet"/>
      <w:lvlText w:val="-"/>
      <w:lvlJc w:val="left"/>
      <w:pPr>
        <w:ind w:left="927" w:hanging="360"/>
      </w:pPr>
      <w:rPr>
        <w:rFonts w:ascii="Times New Roman" w:eastAsia="SimSun" w:hAnsi="Times New Roman" w:cs="Times New Roman" w:hint="default"/>
        <w:sz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651406FE"/>
    <w:multiLevelType w:val="hybridMultilevel"/>
    <w:tmpl w:val="BFA6B600"/>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68607150"/>
    <w:multiLevelType w:val="multilevel"/>
    <w:tmpl w:val="D57C9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D580A97"/>
    <w:multiLevelType w:val="multilevel"/>
    <w:tmpl w:val="06068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6ED41644"/>
    <w:multiLevelType w:val="hybridMultilevel"/>
    <w:tmpl w:val="A87E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0B8110E"/>
    <w:multiLevelType w:val="multilevel"/>
    <w:tmpl w:val="D2CA2F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1550918"/>
    <w:multiLevelType w:val="hybridMultilevel"/>
    <w:tmpl w:val="E76001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3" w15:restartNumberingAfterBreak="0">
    <w:nsid w:val="7C2854A1"/>
    <w:multiLevelType w:val="hybridMultilevel"/>
    <w:tmpl w:val="E368B83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D44008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8"/>
  </w:num>
  <w:num w:numId="3">
    <w:abstractNumId w:val="60"/>
  </w:num>
  <w:num w:numId="4">
    <w:abstractNumId w:val="62"/>
  </w:num>
  <w:num w:numId="5">
    <w:abstractNumId w:val="45"/>
  </w:num>
  <w:num w:numId="6">
    <w:abstractNumId w:val="71"/>
  </w:num>
  <w:num w:numId="7">
    <w:abstractNumId w:val="88"/>
  </w:num>
  <w:num w:numId="8">
    <w:abstractNumId w:val="46"/>
  </w:num>
  <w:num w:numId="9">
    <w:abstractNumId w:val="43"/>
  </w:num>
  <w:num w:numId="10">
    <w:abstractNumId w:val="2"/>
  </w:num>
  <w:num w:numId="11">
    <w:abstractNumId w:val="1"/>
  </w:num>
  <w:num w:numId="12">
    <w:abstractNumId w:val="0"/>
  </w:num>
  <w:num w:numId="13">
    <w:abstractNumId w:val="81"/>
  </w:num>
  <w:num w:numId="14">
    <w:abstractNumId w:val="55"/>
  </w:num>
  <w:num w:numId="15">
    <w:abstractNumId w:val="59"/>
  </w:num>
  <w:num w:numId="16">
    <w:abstractNumId w:val="115"/>
  </w:num>
  <w:num w:numId="1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2"/>
  </w:num>
  <w:num w:numId="19">
    <w:abstractNumId w:val="84"/>
  </w:num>
  <w:num w:numId="20">
    <w:abstractNumId w:val="98"/>
  </w:num>
  <w:num w:numId="21">
    <w:abstractNumId w:val="38"/>
  </w:num>
  <w:num w:numId="22">
    <w:abstractNumId w:val="77"/>
  </w:num>
  <w:num w:numId="23">
    <w:abstractNumId w:val="34"/>
  </w:num>
  <w:num w:numId="24">
    <w:abstractNumId w:val="80"/>
  </w:num>
  <w:num w:numId="25">
    <w:abstractNumId w:val="41"/>
  </w:num>
  <w:num w:numId="26">
    <w:abstractNumId w:val="81"/>
  </w:num>
  <w:num w:numId="27">
    <w:abstractNumId w:val="78"/>
  </w:num>
  <w:num w:numId="28">
    <w:abstractNumId w:val="70"/>
  </w:num>
  <w:num w:numId="29">
    <w:abstractNumId w:val="52"/>
  </w:num>
  <w:num w:numId="30">
    <w:abstractNumId w:val="94"/>
  </w:num>
  <w:num w:numId="31">
    <w:abstractNumId w:val="89"/>
  </w:num>
  <w:num w:numId="32">
    <w:abstractNumId w:val="64"/>
  </w:num>
  <w:num w:numId="33">
    <w:abstractNumId w:val="117"/>
  </w:num>
  <w:num w:numId="34">
    <w:abstractNumId w:val="14"/>
  </w:num>
  <w:num w:numId="35">
    <w:abstractNumId w:val="6"/>
  </w:num>
  <w:num w:numId="36">
    <w:abstractNumId w:val="3"/>
  </w:num>
  <w:num w:numId="37">
    <w:abstractNumId w:val="3"/>
  </w:num>
  <w:num w:numId="38">
    <w:abstractNumId w:val="3"/>
  </w:num>
  <w:num w:numId="39">
    <w:abstractNumId w:val="3"/>
  </w:num>
  <w:num w:numId="40">
    <w:abstractNumId w:val="53"/>
  </w:num>
  <w:num w:numId="41">
    <w:abstractNumId w:val="106"/>
  </w:num>
  <w:num w:numId="42">
    <w:abstractNumId w:val="6"/>
  </w:num>
  <w:num w:numId="43">
    <w:abstractNumId w:val="95"/>
  </w:num>
  <w:num w:numId="44">
    <w:abstractNumId w:val="107"/>
  </w:num>
  <w:num w:numId="45">
    <w:abstractNumId w:val="20"/>
  </w:num>
  <w:num w:numId="46">
    <w:abstractNumId w:val="85"/>
  </w:num>
  <w:num w:numId="47">
    <w:abstractNumId w:val="119"/>
  </w:num>
  <w:num w:numId="48">
    <w:abstractNumId w:val="110"/>
  </w:num>
  <w:num w:numId="49">
    <w:abstractNumId w:val="5"/>
  </w:num>
  <w:num w:numId="50">
    <w:abstractNumId w:val="51"/>
  </w:num>
  <w:num w:numId="51">
    <w:abstractNumId w:val="104"/>
  </w:num>
  <w:num w:numId="52">
    <w:abstractNumId w:val="22"/>
  </w:num>
  <w:num w:numId="53">
    <w:abstractNumId w:val="16"/>
  </w:num>
  <w:num w:numId="54">
    <w:abstractNumId w:val="110"/>
  </w:num>
  <w:num w:numId="55">
    <w:abstractNumId w:val="125"/>
  </w:num>
  <w:num w:numId="56">
    <w:abstractNumId w:val="33"/>
  </w:num>
  <w:num w:numId="57">
    <w:abstractNumId w:val="61"/>
  </w:num>
  <w:num w:numId="58">
    <w:abstractNumId w:val="36"/>
  </w:num>
  <w:num w:numId="59">
    <w:abstractNumId w:val="48"/>
  </w:num>
  <w:num w:numId="60">
    <w:abstractNumId w:val="32"/>
  </w:num>
  <w:num w:numId="61">
    <w:abstractNumId w:val="105"/>
  </w:num>
  <w:num w:numId="62">
    <w:abstractNumId w:val="12"/>
  </w:num>
  <w:num w:numId="63">
    <w:abstractNumId w:val="102"/>
  </w:num>
  <w:num w:numId="64">
    <w:abstractNumId w:val="120"/>
  </w:num>
  <w:num w:numId="65">
    <w:abstractNumId w:val="23"/>
  </w:num>
  <w:num w:numId="66">
    <w:abstractNumId w:val="56"/>
  </w:num>
  <w:num w:numId="67">
    <w:abstractNumId w:val="57"/>
  </w:num>
  <w:num w:numId="68">
    <w:abstractNumId w:val="75"/>
  </w:num>
  <w:num w:numId="69">
    <w:abstractNumId w:val="58"/>
  </w:num>
  <w:num w:numId="70">
    <w:abstractNumId w:val="28"/>
  </w:num>
  <w:num w:numId="71">
    <w:abstractNumId w:val="63"/>
  </w:num>
  <w:num w:numId="72">
    <w:abstractNumId w:val="97"/>
  </w:num>
  <w:num w:numId="73">
    <w:abstractNumId w:val="76"/>
  </w:num>
  <w:num w:numId="74">
    <w:abstractNumId w:val="29"/>
  </w:num>
  <w:num w:numId="75">
    <w:abstractNumId w:val="79"/>
  </w:num>
  <w:num w:numId="76">
    <w:abstractNumId w:val="118"/>
  </w:num>
  <w:num w:numId="77">
    <w:abstractNumId w:val="50"/>
  </w:num>
  <w:num w:numId="78">
    <w:abstractNumId w:val="112"/>
  </w:num>
  <w:num w:numId="79">
    <w:abstractNumId w:val="54"/>
  </w:num>
  <w:num w:numId="80">
    <w:abstractNumId w:val="25"/>
  </w:num>
  <w:num w:numId="81">
    <w:abstractNumId w:val="27"/>
  </w:num>
  <w:num w:numId="82">
    <w:abstractNumId w:val="87"/>
  </w:num>
  <w:num w:numId="83">
    <w:abstractNumId w:val="10"/>
  </w:num>
  <w:num w:numId="84">
    <w:abstractNumId w:val="37"/>
  </w:num>
  <w:num w:numId="85">
    <w:abstractNumId w:val="114"/>
  </w:num>
  <w:num w:numId="86">
    <w:abstractNumId w:val="18"/>
  </w:num>
  <w:num w:numId="87">
    <w:abstractNumId w:val="9"/>
  </w:num>
  <w:num w:numId="88">
    <w:abstractNumId w:val="18"/>
  </w:num>
  <w:num w:numId="89">
    <w:abstractNumId w:val="9"/>
  </w:num>
  <w:num w:numId="90">
    <w:abstractNumId w:val="86"/>
  </w:num>
  <w:num w:numId="91">
    <w:abstractNumId w:val="68"/>
  </w:num>
  <w:num w:numId="92">
    <w:abstractNumId w:val="44"/>
  </w:num>
  <w:num w:numId="93">
    <w:abstractNumId w:val="35"/>
  </w:num>
  <w:num w:numId="94">
    <w:abstractNumId w:val="26"/>
  </w:num>
  <w:num w:numId="95">
    <w:abstractNumId w:val="35"/>
  </w:num>
  <w:num w:numId="96">
    <w:abstractNumId w:val="122"/>
  </w:num>
  <w:num w:numId="97">
    <w:abstractNumId w:val="49"/>
  </w:num>
  <w:num w:numId="98">
    <w:abstractNumId w:val="3"/>
  </w:num>
  <w:num w:numId="99">
    <w:abstractNumId w:val="8"/>
  </w:num>
  <w:num w:numId="100">
    <w:abstractNumId w:val="19"/>
  </w:num>
  <w:num w:numId="101">
    <w:abstractNumId w:val="42"/>
  </w:num>
  <w:num w:numId="102">
    <w:abstractNumId w:val="73"/>
  </w:num>
  <w:num w:numId="103">
    <w:abstractNumId w:val="103"/>
  </w:num>
  <w:num w:numId="104">
    <w:abstractNumId w:val="74"/>
  </w:num>
  <w:num w:numId="105">
    <w:abstractNumId w:val="121"/>
  </w:num>
  <w:num w:numId="106">
    <w:abstractNumId w:val="90"/>
  </w:num>
  <w:num w:numId="107">
    <w:abstractNumId w:val="82"/>
  </w:num>
  <w:num w:numId="108">
    <w:abstractNumId w:val="40"/>
  </w:num>
  <w:num w:numId="109">
    <w:abstractNumId w:val="109"/>
  </w:num>
  <w:num w:numId="110">
    <w:abstractNumId w:val="15"/>
  </w:num>
  <w:num w:numId="111">
    <w:abstractNumId w:val="31"/>
  </w:num>
  <w:num w:numId="112">
    <w:abstractNumId w:val="91"/>
  </w:num>
  <w:num w:numId="113">
    <w:abstractNumId w:val="124"/>
  </w:num>
  <w:num w:numId="114">
    <w:abstractNumId w:val="21"/>
  </w:num>
  <w:num w:numId="115">
    <w:abstractNumId w:val="113"/>
  </w:num>
  <w:num w:numId="116">
    <w:abstractNumId w:val="92"/>
  </w:num>
  <w:num w:numId="117">
    <w:abstractNumId w:val="65"/>
  </w:num>
  <w:num w:numId="118">
    <w:abstractNumId w:val="7"/>
  </w:num>
  <w:num w:numId="119">
    <w:abstractNumId w:val="47"/>
  </w:num>
  <w:num w:numId="120">
    <w:abstractNumId w:val="30"/>
  </w:num>
  <w:num w:numId="121">
    <w:abstractNumId w:val="99"/>
  </w:num>
  <w:num w:numId="122">
    <w:abstractNumId w:val="123"/>
  </w:num>
  <w:num w:numId="123">
    <w:abstractNumId w:val="66"/>
  </w:num>
  <w:num w:numId="124">
    <w:abstractNumId w:val="116"/>
  </w:num>
  <w:num w:numId="125">
    <w:abstractNumId w:val="111"/>
  </w:num>
  <w:num w:numId="126">
    <w:abstractNumId w:val="83"/>
  </w:num>
  <w:num w:numId="127">
    <w:abstractNumId w:val="67"/>
  </w:num>
  <w:num w:numId="128">
    <w:abstractNumId w:val="39"/>
  </w:num>
  <w:num w:numId="129">
    <w:abstractNumId w:val="3"/>
  </w:num>
  <w:num w:numId="130">
    <w:abstractNumId w:val="93"/>
  </w:num>
  <w:num w:numId="131">
    <w:abstractNumId w:val="11"/>
  </w:num>
  <w:num w:numId="132">
    <w:abstractNumId w:val="4"/>
  </w:num>
  <w:num w:numId="133">
    <w:abstractNumId w:val="96"/>
  </w:num>
  <w:num w:numId="134">
    <w:abstractNumId w:val="17"/>
  </w:num>
  <w:num w:numId="135">
    <w:abstractNumId w:val="13"/>
  </w:num>
  <w:num w:numId="136">
    <w:abstractNumId w:val="69"/>
  </w:num>
  <w:num w:numId="137">
    <w:abstractNumId w:val="100"/>
  </w:num>
  <w:num w:numId="138">
    <w:abstractNumId w:val="101"/>
  </w:num>
  <w:num w:numId="139">
    <w:abstractNumId w:val="24"/>
  </w:num>
  <w:num w:numId="140">
    <w:abstractNumId w:val="108"/>
  </w:num>
  <w:num w:numId="141">
    <w:abstractNumId w:val="81"/>
    <w:lvlOverride w:ilvl="0">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702F"/>
    <w:rsid w:val="0007731D"/>
    <w:rsid w:val="0007744F"/>
    <w:rsid w:val="00077876"/>
    <w:rsid w:val="00077BFF"/>
    <w:rsid w:val="00077E51"/>
    <w:rsid w:val="00077E5F"/>
    <w:rsid w:val="0008036A"/>
    <w:rsid w:val="0008087E"/>
    <w:rsid w:val="000809B1"/>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E49"/>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88E"/>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DC4"/>
    <w:rsid w:val="00213527"/>
    <w:rsid w:val="00213826"/>
    <w:rsid w:val="00214030"/>
    <w:rsid w:val="0021406F"/>
    <w:rsid w:val="00214BA8"/>
    <w:rsid w:val="00214DA8"/>
    <w:rsid w:val="00215423"/>
    <w:rsid w:val="002158FA"/>
    <w:rsid w:val="00215AEA"/>
    <w:rsid w:val="00215BE6"/>
    <w:rsid w:val="00216036"/>
    <w:rsid w:val="00216235"/>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CD5"/>
    <w:rsid w:val="00324D23"/>
    <w:rsid w:val="00325282"/>
    <w:rsid w:val="00325390"/>
    <w:rsid w:val="003254FB"/>
    <w:rsid w:val="003260BF"/>
    <w:rsid w:val="003262A8"/>
    <w:rsid w:val="0032640D"/>
    <w:rsid w:val="003269DD"/>
    <w:rsid w:val="00326CB0"/>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D2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D05"/>
    <w:rsid w:val="004226CB"/>
    <w:rsid w:val="00422711"/>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7BA"/>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E88"/>
    <w:rsid w:val="0046479D"/>
    <w:rsid w:val="00464BC0"/>
    <w:rsid w:val="00465884"/>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857"/>
    <w:rsid w:val="004863A6"/>
    <w:rsid w:val="00487321"/>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92A"/>
    <w:rsid w:val="005B3AA3"/>
    <w:rsid w:val="005B3B3D"/>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4FC"/>
    <w:rsid w:val="0062769A"/>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208D"/>
    <w:rsid w:val="00642319"/>
    <w:rsid w:val="0064275C"/>
    <w:rsid w:val="00643475"/>
    <w:rsid w:val="0064396A"/>
    <w:rsid w:val="006439C1"/>
    <w:rsid w:val="00643E2C"/>
    <w:rsid w:val="00644655"/>
    <w:rsid w:val="00644E74"/>
    <w:rsid w:val="006451A9"/>
    <w:rsid w:val="006456D2"/>
    <w:rsid w:val="00646226"/>
    <w:rsid w:val="0064624E"/>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5A"/>
    <w:rsid w:val="006719B6"/>
    <w:rsid w:val="00671C2F"/>
    <w:rsid w:val="00671F18"/>
    <w:rsid w:val="0067218F"/>
    <w:rsid w:val="0067274A"/>
    <w:rsid w:val="00672BE2"/>
    <w:rsid w:val="00673299"/>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689B"/>
    <w:rsid w:val="006F71ED"/>
    <w:rsid w:val="006F7707"/>
    <w:rsid w:val="006F7BAE"/>
    <w:rsid w:val="007005FA"/>
    <w:rsid w:val="007009F8"/>
    <w:rsid w:val="00701685"/>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2A6"/>
    <w:rsid w:val="007F0EFE"/>
    <w:rsid w:val="007F1861"/>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F63"/>
    <w:rsid w:val="00821937"/>
    <w:rsid w:val="0082194D"/>
    <w:rsid w:val="00821A92"/>
    <w:rsid w:val="00823125"/>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A90"/>
    <w:rsid w:val="00851257"/>
    <w:rsid w:val="008512FA"/>
    <w:rsid w:val="008514FE"/>
    <w:rsid w:val="00852BC2"/>
    <w:rsid w:val="00852C37"/>
    <w:rsid w:val="00852E36"/>
    <w:rsid w:val="00852F3B"/>
    <w:rsid w:val="00854307"/>
    <w:rsid w:val="008546EF"/>
    <w:rsid w:val="0085475D"/>
    <w:rsid w:val="0085485C"/>
    <w:rsid w:val="008550E9"/>
    <w:rsid w:val="008558BF"/>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B55"/>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5EEB"/>
    <w:rsid w:val="009560CC"/>
    <w:rsid w:val="0095638F"/>
    <w:rsid w:val="0095681E"/>
    <w:rsid w:val="00956957"/>
    <w:rsid w:val="00956F82"/>
    <w:rsid w:val="0095703F"/>
    <w:rsid w:val="009572D4"/>
    <w:rsid w:val="009577F1"/>
    <w:rsid w:val="009579B0"/>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33"/>
    <w:rsid w:val="00977218"/>
    <w:rsid w:val="00980085"/>
    <w:rsid w:val="009801DE"/>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1FE1"/>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6E9"/>
    <w:rsid w:val="00B017C7"/>
    <w:rsid w:val="00B01D8A"/>
    <w:rsid w:val="00B02733"/>
    <w:rsid w:val="00B0279D"/>
    <w:rsid w:val="00B02996"/>
    <w:rsid w:val="00B02AA9"/>
    <w:rsid w:val="00B02B0F"/>
    <w:rsid w:val="00B02B78"/>
    <w:rsid w:val="00B02FA3"/>
    <w:rsid w:val="00B03374"/>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5111"/>
    <w:rsid w:val="00C25262"/>
    <w:rsid w:val="00C2548F"/>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ACF"/>
    <w:rsid w:val="00C36E1A"/>
    <w:rsid w:val="00C36F16"/>
    <w:rsid w:val="00C37057"/>
    <w:rsid w:val="00C3719D"/>
    <w:rsid w:val="00C4061C"/>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3D4"/>
    <w:rsid w:val="00D94572"/>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C06"/>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4DE"/>
    <w:rsid w:val="00E67B54"/>
    <w:rsid w:val="00E67C51"/>
    <w:rsid w:val="00E70B1D"/>
    <w:rsid w:val="00E70F7C"/>
    <w:rsid w:val="00E70FE7"/>
    <w:rsid w:val="00E71435"/>
    <w:rsid w:val="00E720E0"/>
    <w:rsid w:val="00E72186"/>
    <w:rsid w:val="00E726F4"/>
    <w:rsid w:val="00E72EFC"/>
    <w:rsid w:val="00E74324"/>
    <w:rsid w:val="00E74B33"/>
    <w:rsid w:val="00E74DE1"/>
    <w:rsid w:val="00E7577E"/>
    <w:rsid w:val="00E757A1"/>
    <w:rsid w:val="00E758EC"/>
    <w:rsid w:val="00E75B0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6241"/>
    <w:rsid w:val="00E866F9"/>
    <w:rsid w:val="00E86B74"/>
    <w:rsid w:val="00E86C8A"/>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2EB"/>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2C6"/>
    <w:rsid w:val="00F11779"/>
    <w:rsid w:val="00F11F9C"/>
    <w:rsid w:val="00F12853"/>
    <w:rsid w:val="00F1299C"/>
    <w:rsid w:val="00F12B2B"/>
    <w:rsid w:val="00F12CB1"/>
    <w:rsid w:val="00F1300B"/>
    <w:rsid w:val="00F1325B"/>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828"/>
    <w:rsid w:val="00F30DD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691"/>
    <w:rsid w:val="00F6046D"/>
    <w:rsid w:val="00F607C5"/>
    <w:rsid w:val="00F6090B"/>
    <w:rsid w:val="00F60CB2"/>
    <w:rsid w:val="00F60DEA"/>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9B3"/>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03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F710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03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1.vsd"/><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3.png"/><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6700</Words>
  <Characters>38193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2022-02-15T00:19:00Z</dcterms:created>
  <dcterms:modified xsi:type="dcterms:W3CDTF">2022-02-15T00:19:00Z</dcterms:modified>
</cp:coreProperties>
</file>